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6204"/>
      </w:tblGrid>
      <w:tr w:rsidR="00AE6542" w:rsidRPr="00816020" w14:paraId="43857BC6" w14:textId="77777777" w:rsidTr="00AE6542">
        <w:trPr>
          <w:trHeight w:val="1560"/>
        </w:trPr>
        <w:tc>
          <w:tcPr>
            <w:tcW w:w="3436" w:type="dxa"/>
          </w:tcPr>
          <w:p w14:paraId="7564AA9C" w14:textId="77777777" w:rsidR="00AE6542" w:rsidRPr="00AE6542" w:rsidRDefault="00AE6542" w:rsidP="00A85E8E">
            <w:pPr>
              <w:spacing w:before="60" w:after="60" w:line="23" w:lineRule="atLeast"/>
              <w:jc w:val="center"/>
              <w:rPr>
                <w:b/>
                <w:noProof/>
                <w:sz w:val="26"/>
                <w:szCs w:val="26"/>
                <w:lang w:val="vi-VN"/>
              </w:rPr>
            </w:pPr>
            <w:bookmarkStart w:id="0" w:name="_GoBack"/>
            <w:bookmarkEnd w:id="0"/>
            <w:r w:rsidRPr="00AE6542">
              <w:rPr>
                <w:b/>
                <w:noProof/>
                <w:sz w:val="26"/>
                <w:szCs w:val="26"/>
                <w:lang w:val="vi-VN"/>
              </w:rPr>
              <w:t>HỘI ĐỒNG NHÂN DÂN</w:t>
            </w:r>
          </w:p>
          <w:p w14:paraId="31F21A42" w14:textId="77777777" w:rsidR="00AE6542" w:rsidRPr="00AE6542" w:rsidRDefault="00994542" w:rsidP="00A85E8E">
            <w:pPr>
              <w:spacing w:before="60" w:after="60" w:line="23" w:lineRule="atLeast"/>
              <w:jc w:val="center"/>
              <w:rPr>
                <w:b/>
                <w:noProof/>
                <w:lang w:val="vi-VN"/>
              </w:rPr>
            </w:pPr>
            <w:r>
              <w:rPr>
                <w:noProof/>
                <w:lang w:val="vi-VN"/>
              </w:rPr>
              <w:pict w14:anchorId="488B317A">
                <v:line id=" 2" o:spid="_x0000_s1026" style="position:absolute;left:0;text-align:left;z-index:251657216;visibility:visible" from="56.95pt,15.65pt" to="100.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C8AwIAAA0EAAAOAAAAZHJzL2Uyb0RvYy54bWysU02P2yAQvVfqf0DcHdupk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">
                  <o:lock v:ext="edit" shapetype="f"/>
                </v:line>
              </w:pict>
            </w:r>
            <w:r w:rsidR="00AE6542" w:rsidRPr="00AE6542">
              <w:rPr>
                <w:b/>
                <w:noProof/>
                <w:sz w:val="26"/>
                <w:szCs w:val="26"/>
                <w:lang w:val="vi-VN"/>
              </w:rPr>
              <w:t>TỈNH PHÚ THỌ</w:t>
            </w:r>
          </w:p>
          <w:p w14:paraId="2FE62BEC" w14:textId="77777777" w:rsidR="00AE6542" w:rsidRPr="00AE6542" w:rsidRDefault="00AE6542" w:rsidP="00A85E8E">
            <w:pPr>
              <w:spacing w:before="60" w:after="60" w:line="23" w:lineRule="atLeast"/>
              <w:jc w:val="center"/>
              <w:rPr>
                <w:noProof/>
                <w:lang w:val="vi-VN"/>
              </w:rPr>
            </w:pPr>
          </w:p>
          <w:p w14:paraId="2C2FBD53" w14:textId="77777777" w:rsidR="00AE6542" w:rsidRPr="00AE6542" w:rsidRDefault="00AE6542" w:rsidP="00510CBF">
            <w:pPr>
              <w:spacing w:before="60" w:after="60" w:line="23" w:lineRule="atLeast"/>
              <w:jc w:val="center"/>
              <w:rPr>
                <w:noProof/>
                <w:sz w:val="26"/>
                <w:szCs w:val="26"/>
                <w:lang w:val="vi-VN"/>
              </w:rPr>
            </w:pPr>
            <w:r w:rsidRPr="003D2EB4">
              <w:rPr>
                <w:noProof/>
                <w:szCs w:val="26"/>
                <w:lang w:val="vi-VN"/>
              </w:rPr>
              <w:t xml:space="preserve">Số: </w:t>
            </w:r>
            <w:r w:rsidR="00510CBF">
              <w:rPr>
                <w:noProof/>
                <w:szCs w:val="26"/>
              </w:rPr>
              <w:t>78</w:t>
            </w:r>
            <w:r w:rsidRPr="003D2EB4">
              <w:rPr>
                <w:noProof/>
                <w:szCs w:val="26"/>
                <w:lang w:val="vi-VN"/>
              </w:rPr>
              <w:t>/2025/NQ-HĐND</w:t>
            </w:r>
          </w:p>
        </w:tc>
        <w:tc>
          <w:tcPr>
            <w:tcW w:w="6204" w:type="dxa"/>
          </w:tcPr>
          <w:p w14:paraId="3E7EE2A8" w14:textId="77777777" w:rsidR="00AE6542" w:rsidRPr="00AE6542" w:rsidRDefault="00AE6542" w:rsidP="00A85E8E">
            <w:pPr>
              <w:spacing w:before="60" w:after="60" w:line="23" w:lineRule="atLeast"/>
              <w:jc w:val="center"/>
              <w:rPr>
                <w:b/>
                <w:noProof/>
                <w:sz w:val="26"/>
                <w:szCs w:val="26"/>
                <w:lang w:val="vi-VN"/>
              </w:rPr>
            </w:pPr>
            <w:r w:rsidRPr="00AE6542">
              <w:rPr>
                <w:b/>
                <w:noProof/>
                <w:sz w:val="26"/>
                <w:szCs w:val="26"/>
                <w:lang w:val="vi-VN"/>
              </w:rPr>
              <w:t>CỘNG HÒA XÃ HỘI CHỦ NGHĨA VIỆT NAM</w:t>
            </w:r>
          </w:p>
          <w:p w14:paraId="24CA2824" w14:textId="77777777" w:rsidR="00AE6542" w:rsidRPr="00AE6542" w:rsidRDefault="00994542" w:rsidP="00A85E8E">
            <w:pPr>
              <w:spacing w:before="60" w:after="60" w:line="23" w:lineRule="atLeast"/>
              <w:jc w:val="center"/>
              <w:rPr>
                <w:b/>
                <w:noProof/>
                <w:lang w:val="vi-VN"/>
              </w:rPr>
            </w:pPr>
            <w:r>
              <w:rPr>
                <w:noProof/>
                <w:lang w:val="vi-VN"/>
              </w:rPr>
              <w:pict w14:anchorId="1EF5EDAA">
                <v:line id=" 3" o:spid="_x0000_s1027" style="position:absolute;left:0;text-align:left;z-index:251658240;visibility:visible" from="62.6pt,17.75pt" to="233.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">
                  <o:lock v:ext="edit" shapetype="f"/>
                </v:line>
              </w:pict>
            </w:r>
            <w:r w:rsidR="00AE6542" w:rsidRPr="00AE6542">
              <w:rPr>
                <w:b/>
                <w:noProof/>
                <w:lang w:val="vi-VN"/>
              </w:rPr>
              <w:t>Độc lập - Tự do - Hạnh phúc</w:t>
            </w:r>
          </w:p>
          <w:p w14:paraId="7A72B023" w14:textId="77777777" w:rsidR="00AE6542" w:rsidRPr="00AE6542" w:rsidRDefault="00AE6542" w:rsidP="00A85E8E">
            <w:pPr>
              <w:spacing w:before="60" w:after="60" w:line="23" w:lineRule="atLeast"/>
              <w:jc w:val="center"/>
              <w:rPr>
                <w:b/>
                <w:noProof/>
                <w:lang w:val="vi-VN"/>
              </w:rPr>
            </w:pPr>
          </w:p>
          <w:p w14:paraId="1CDC1E5C" w14:textId="77777777" w:rsidR="00AE6542" w:rsidRPr="00AE6542" w:rsidRDefault="00AE6542" w:rsidP="00571517">
            <w:pPr>
              <w:spacing w:before="60" w:after="60" w:line="23" w:lineRule="atLeast"/>
              <w:jc w:val="center"/>
              <w:rPr>
                <w:noProof/>
                <w:lang w:val="vi-VN"/>
              </w:rPr>
            </w:pPr>
            <w:r w:rsidRPr="00AE6542">
              <w:rPr>
                <w:i/>
                <w:noProof/>
                <w:lang w:val="vi-VN"/>
              </w:rPr>
              <w:t xml:space="preserve">Phú Thọ, ngày </w:t>
            </w:r>
            <w:r w:rsidR="00571517" w:rsidRPr="008C28B5">
              <w:rPr>
                <w:i/>
                <w:noProof/>
                <w:lang w:val="vi-VN"/>
              </w:rPr>
              <w:t>10</w:t>
            </w:r>
            <w:r w:rsidRPr="00AE6542">
              <w:rPr>
                <w:i/>
                <w:noProof/>
                <w:lang w:val="vi-VN"/>
              </w:rPr>
              <w:t xml:space="preserve"> tháng 12 năm 2025</w:t>
            </w:r>
          </w:p>
        </w:tc>
      </w:tr>
    </w:tbl>
    <w:p w14:paraId="72EA384A" w14:textId="77777777" w:rsidR="00625023" w:rsidRDefault="00625023" w:rsidP="00625023">
      <w:pPr>
        <w:pBdr>
          <w:right w:val="none" w:sz="4" w:space="1" w:color="000000"/>
        </w:pBdr>
        <w:spacing w:after="0" w:line="23" w:lineRule="atLeast"/>
        <w:jc w:val="center"/>
        <w:rPr>
          <w:b/>
          <w:noProof/>
          <w:lang w:val="vi-VN"/>
        </w:rPr>
      </w:pPr>
    </w:p>
    <w:p w14:paraId="1E7E552A" w14:textId="77777777" w:rsidR="003F6D4C" w:rsidRPr="00AE6542" w:rsidRDefault="00124EB3" w:rsidP="00625023">
      <w:pPr>
        <w:pBdr>
          <w:right w:val="none" w:sz="4" w:space="1" w:color="000000"/>
        </w:pBdr>
        <w:spacing w:after="0" w:line="23" w:lineRule="atLeast"/>
        <w:jc w:val="center"/>
        <w:rPr>
          <w:b/>
          <w:noProof/>
          <w:lang w:val="vi-VN"/>
        </w:rPr>
      </w:pPr>
      <w:r w:rsidRPr="00AE6542">
        <w:rPr>
          <w:b/>
          <w:noProof/>
          <w:lang w:val="vi-VN"/>
        </w:rPr>
        <w:t>NGHỊ QUYẾT</w:t>
      </w:r>
    </w:p>
    <w:p w14:paraId="6F95DD7C" w14:textId="77777777" w:rsidR="00297B35" w:rsidRDefault="00124EB3" w:rsidP="00625023">
      <w:pPr>
        <w:pBdr>
          <w:right w:val="none" w:sz="4" w:space="1" w:color="000000"/>
        </w:pBdr>
        <w:spacing w:after="0" w:line="23" w:lineRule="atLeast"/>
        <w:jc w:val="center"/>
        <w:rPr>
          <w:b/>
          <w:noProof/>
          <w:lang w:val="vi-VN"/>
        </w:rPr>
      </w:pPr>
      <w:r w:rsidRPr="00AE6542">
        <w:rPr>
          <w:b/>
          <w:noProof/>
          <w:lang w:val="vi-VN"/>
        </w:rPr>
        <w:t xml:space="preserve">Quy định mức chi cụ thể cho các hoạt động phát triển </w:t>
      </w:r>
    </w:p>
    <w:p w14:paraId="635EC4D9" w14:textId="77777777" w:rsidR="003F6D4C" w:rsidRPr="00AE6542" w:rsidRDefault="00124EB3" w:rsidP="00625023">
      <w:pPr>
        <w:pBdr>
          <w:right w:val="none" w:sz="4" w:space="1" w:color="000000"/>
        </w:pBdr>
        <w:spacing w:after="0" w:line="23" w:lineRule="atLeast"/>
        <w:jc w:val="center"/>
        <w:rPr>
          <w:b/>
          <w:noProof/>
          <w:lang w:val="vi-VN"/>
        </w:rPr>
      </w:pPr>
      <w:r w:rsidRPr="00AE6542">
        <w:rPr>
          <w:b/>
          <w:noProof/>
          <w:lang w:val="vi-VN"/>
        </w:rPr>
        <w:t>công nghiệp hỗ trợ trên địa bàn tỉnh Phú Thọ</w:t>
      </w:r>
    </w:p>
    <w:p w14:paraId="45B29AC3" w14:textId="1D3D689F" w:rsidR="00AE6542" w:rsidRPr="00AE6542" w:rsidRDefault="00440528" w:rsidP="00C15D0C">
      <w:pPr>
        <w:pBdr>
          <w:right w:val="none" w:sz="4" w:space="1" w:color="000000"/>
        </w:pBdr>
        <w:spacing w:before="200" w:after="0" w:line="23" w:lineRule="atLeast"/>
        <w:jc w:val="center"/>
        <w:rPr>
          <w:b/>
          <w:noProof/>
          <w:lang w:val="vi-VN"/>
        </w:rPr>
      </w:pPr>
      <w:r>
        <w:rPr>
          <w:b/>
          <w:noProof/>
        </w:rPr>
        <mc:AlternateContent>
          <mc:Choice Requires="wps">
            <w:drawing>
              <wp:anchor distT="0" distB="0" distL="114300" distR="114300" simplePos="0" relativeHeight="251659264" behindDoc="0" locked="0" layoutInCell="1" allowOverlap="1" wp14:anchorId="57E366D7" wp14:editId="3BD28BBC">
                <wp:simplePos x="0" y="0"/>
                <wp:positionH relativeFrom="column">
                  <wp:posOffset>2561608</wp:posOffset>
                </wp:positionH>
                <wp:positionV relativeFrom="paragraph">
                  <wp:posOffset>95977</wp:posOffset>
                </wp:positionV>
                <wp:extent cx="676551" cy="0"/>
                <wp:effectExtent l="0" t="0" r="0" b="0"/>
                <wp:wrapNone/>
                <wp:docPr id="1985708065" name="Straight Connector 1"/>
                <wp:cNvGraphicFramePr/>
                <a:graphic xmlns:a="http://schemas.openxmlformats.org/drawingml/2006/main">
                  <a:graphicData uri="http://schemas.microsoft.com/office/word/2010/wordprocessingShape">
                    <wps:wsp>
                      <wps:cNvCnPr/>
                      <wps:spPr>
                        <a:xfrm>
                          <a:off x="0" y="0"/>
                          <a:ext cx="676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061E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1.7pt,7.55pt" to="254.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" strokecolor="black [3040]"/>
            </w:pict>
          </mc:Fallback>
        </mc:AlternateContent>
      </w:r>
    </w:p>
    <w:p w14:paraId="6FE81430"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Luật Tổ chức chính quyền địa phương số 72/2025/QH15;</w:t>
      </w:r>
    </w:p>
    <w:p w14:paraId="355B5E1D"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Luật Ban hành văn bản quy phạm pháp luật số 64/2025/QH15 được sửa đổi, bổ sung bởi Luật số 87/2025/QH15;</w:t>
      </w:r>
    </w:p>
    <w:p w14:paraId="0D364EF0"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Luậ</w:t>
      </w:r>
      <w:r w:rsidR="007B2643">
        <w:rPr>
          <w:i/>
          <w:noProof/>
          <w:lang w:val="vi-VN"/>
        </w:rPr>
        <w:t>t Ngân sách n</w:t>
      </w:r>
      <w:r w:rsidRPr="00C15D0C">
        <w:rPr>
          <w:i/>
          <w:noProof/>
          <w:lang w:val="vi-VN"/>
        </w:rPr>
        <w:t>hà nước số 89/2025/QH15;</w:t>
      </w:r>
    </w:p>
    <w:p w14:paraId="777EFCD7"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Nghị định số 111/2015/NĐ-CP ngày 03 tháng 11 năm 2015 của Chính phủ về phát triển công nghiệp hỗ trợ được sửa đổi, bổ sung bởi Nghị định số 205/2025/NĐ-CP;</w:t>
      </w:r>
    </w:p>
    <w:p w14:paraId="5DB6B206"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Quyết định số 10/2017/QĐ-TTg ngày 03 tháng 4 năm 2017 của Thủ tướng Chính phủ ban hành Quy chế quản lý và thực hiện Chương trình phát triển công nghiệp hỗ trợ;</w:t>
      </w:r>
    </w:p>
    <w:p w14:paraId="44D87C00"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Căn cứ Thông tư 29/2018/TT-BTC ngày 28 tháng 3 năm 2018 của Bộ trưởng Bộ Tài chính hướng dẫn lập, quản lý và sử dụng kinh phí Chương trình phát triển công nghiệp hỗ trợ;</w:t>
      </w:r>
    </w:p>
    <w:p w14:paraId="4019F473" w14:textId="77777777" w:rsidR="003F6D4C" w:rsidRPr="00C15D0C" w:rsidRDefault="00124EB3" w:rsidP="004B2637">
      <w:pPr>
        <w:pBdr>
          <w:right w:val="none" w:sz="4" w:space="1" w:color="000000"/>
        </w:pBdr>
        <w:spacing w:before="40" w:after="40" w:line="300" w:lineRule="auto"/>
        <w:ind w:firstLine="709"/>
        <w:jc w:val="both"/>
        <w:rPr>
          <w:noProof/>
          <w:lang w:val="vi-VN"/>
        </w:rPr>
      </w:pPr>
      <w:r w:rsidRPr="00C15D0C">
        <w:rPr>
          <w:i/>
          <w:noProof/>
          <w:lang w:val="vi-VN"/>
        </w:rPr>
        <w:t>Xét Tờ trình số 10724/TTr-UBND ngày 29 tháng 12 năm 2025 của Ủy ban nhân dân tỉnh Phú Thọ; Báo cáo thẩm tra của Ban Kinh tế - Ngân sách Hội đồng nhân dân tỉnh; ý kiến thảo luận của đại biểu Hội đồng nhân dân tỉnh tại kỳ họp;</w:t>
      </w:r>
    </w:p>
    <w:p w14:paraId="3EC3C18F" w14:textId="77777777" w:rsidR="003F6D4C" w:rsidRPr="00C15D0C" w:rsidRDefault="00124EB3" w:rsidP="004B2637">
      <w:pPr>
        <w:pBdr>
          <w:right w:val="none" w:sz="4" w:space="1" w:color="000000"/>
        </w:pBdr>
        <w:spacing w:before="40" w:after="40" w:line="300" w:lineRule="auto"/>
        <w:ind w:firstLine="709"/>
        <w:jc w:val="both"/>
        <w:rPr>
          <w:i/>
          <w:noProof/>
          <w:lang w:val="vi-VN"/>
        </w:rPr>
      </w:pPr>
      <w:r w:rsidRPr="00C15D0C">
        <w:rPr>
          <w:i/>
          <w:noProof/>
          <w:lang w:val="vi-VN"/>
        </w:rPr>
        <w:t xml:space="preserve">Hội đồng nhân dân tỉnh </w:t>
      </w:r>
      <w:r w:rsidR="00AD3503" w:rsidRPr="00C15D0C">
        <w:rPr>
          <w:i/>
          <w:noProof/>
          <w:lang w:val="vi-VN"/>
        </w:rPr>
        <w:t xml:space="preserve">ban </w:t>
      </w:r>
      <w:r w:rsidRPr="00C15D0C">
        <w:rPr>
          <w:i/>
          <w:noProof/>
          <w:lang w:val="vi-VN"/>
        </w:rPr>
        <w:t>hành Nghị quyết Quy định mức chi cụ thể</w:t>
      </w:r>
      <w:r w:rsidR="009339D0" w:rsidRPr="008C28B5">
        <w:rPr>
          <w:i/>
          <w:noProof/>
          <w:lang w:val="vi-VN"/>
        </w:rPr>
        <w:t xml:space="preserve"> cho</w:t>
      </w:r>
      <w:r w:rsidRPr="00C15D0C">
        <w:rPr>
          <w:i/>
          <w:noProof/>
          <w:lang w:val="vi-VN"/>
        </w:rPr>
        <w:t xml:space="preserve"> các hoạt động phát triển công nghiệp hỗ trợ trên địa bàn tỉnh Phú Thọ.</w:t>
      </w:r>
    </w:p>
    <w:p w14:paraId="76E5665C" w14:textId="77777777" w:rsidR="003F6D4C" w:rsidRPr="00C15D0C" w:rsidRDefault="00124EB3" w:rsidP="004B2637">
      <w:pPr>
        <w:spacing w:before="40" w:after="40" w:line="300" w:lineRule="auto"/>
        <w:ind w:firstLine="709"/>
        <w:jc w:val="both"/>
        <w:rPr>
          <w:b/>
          <w:noProof/>
          <w:lang w:val="vi-VN"/>
        </w:rPr>
      </w:pPr>
      <w:bookmarkStart w:id="1" w:name="dieu_2"/>
      <w:r w:rsidRPr="00C15D0C">
        <w:rPr>
          <w:b/>
          <w:noProof/>
          <w:lang w:val="vi-VN"/>
        </w:rPr>
        <w:t>Điều 1.</w:t>
      </w:r>
      <w:r w:rsidRPr="00C15D0C">
        <w:rPr>
          <w:noProof/>
          <w:lang w:val="vi-VN"/>
        </w:rPr>
        <w:t xml:space="preserve"> </w:t>
      </w:r>
      <w:r w:rsidRPr="00C15D0C">
        <w:rPr>
          <w:b/>
          <w:noProof/>
          <w:lang w:val="vi-VN"/>
        </w:rPr>
        <w:t>Phạm vi điều chỉnh và đối tượng áp dụng</w:t>
      </w:r>
    </w:p>
    <w:p w14:paraId="5994C856"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b/>
        <w:t>1. Phạm vi điều chỉnh</w:t>
      </w:r>
    </w:p>
    <w:p w14:paraId="3BD68141"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b/>
        <w:t xml:space="preserve">Nghị quyết này quy định mức chi cụ thể </w:t>
      </w:r>
      <w:r w:rsidR="009339D0" w:rsidRPr="008C28B5">
        <w:rPr>
          <w:rFonts w:eastAsia="Calibri"/>
          <w:noProof/>
          <w:sz w:val="28"/>
          <w:szCs w:val="28"/>
          <w:lang w:val="vi-VN"/>
        </w:rPr>
        <w:t xml:space="preserve">cho </w:t>
      </w:r>
      <w:r w:rsidRPr="00C15D0C">
        <w:rPr>
          <w:rFonts w:eastAsia="Calibri"/>
          <w:noProof/>
          <w:sz w:val="28"/>
          <w:szCs w:val="28"/>
          <w:lang w:val="vi-VN"/>
        </w:rPr>
        <w:t>các hoạt động phát triển công nghiệp hỗ trợ trên địa bàn tỉnh Phú Thọ.</w:t>
      </w:r>
    </w:p>
    <w:p w14:paraId="2F2977AD"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b/>
        <w:t>2. Đối tượng áp dụng</w:t>
      </w:r>
    </w:p>
    <w:p w14:paraId="64E0F240" w14:textId="77777777" w:rsidR="00AE6542" w:rsidRPr="00C15D0C" w:rsidRDefault="00124EB3" w:rsidP="004B2637">
      <w:pPr>
        <w:spacing w:before="40" w:after="40" w:line="300" w:lineRule="auto"/>
        <w:ind w:firstLine="709"/>
        <w:jc w:val="both"/>
        <w:rPr>
          <w:noProof/>
          <w:lang w:val="vi-VN"/>
        </w:rPr>
      </w:pPr>
      <w:r w:rsidRPr="00C15D0C">
        <w:rPr>
          <w:noProof/>
          <w:lang w:val="vi-VN"/>
        </w:rPr>
        <w:t>Nghị quyết này áp dụng đối với cơ quan nhà nước, đơn vị sự nghiệp công lập và các tổ chức, cá nhân tham gia thực hiện các hoạt động phát triển công nghiệp hỗ trợ trên địa bàn tỉnh Phú Thọ.</w:t>
      </w:r>
    </w:p>
    <w:p w14:paraId="24BA6941" w14:textId="77777777" w:rsidR="003F6D4C" w:rsidRPr="00650550" w:rsidRDefault="00124EB3" w:rsidP="004B2637">
      <w:pPr>
        <w:spacing w:before="40" w:after="40" w:line="300" w:lineRule="auto"/>
        <w:ind w:firstLine="709"/>
        <w:jc w:val="both"/>
        <w:rPr>
          <w:b/>
          <w:noProof/>
          <w:spacing w:val="-4"/>
          <w:lang w:val="vi-VN"/>
        </w:rPr>
      </w:pPr>
      <w:r w:rsidRPr="00650550">
        <w:rPr>
          <w:b/>
          <w:noProof/>
          <w:spacing w:val="-4"/>
          <w:lang w:val="vi-VN"/>
        </w:rPr>
        <w:lastRenderedPageBreak/>
        <w:t>Điều 2. Mức chi cụ thể cho các hoạt động phát triển công nghiệp hỗ trợ</w:t>
      </w:r>
    </w:p>
    <w:p w14:paraId="1E649A96"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1. Chi kết nối, hỗ trợ doanh nghiệp công nghiệp hỗ trợ trở thành nhà cung ứng sản phẩm cho khách hàng trong và ngoài nước; xúc tiến thu hút đầu tư nước ngoài vào lĩnh vực công nghiệp hỗ trợ.</w:t>
      </w:r>
      <w:r w:rsidRPr="00C15D0C">
        <w:rPr>
          <w:rFonts w:eastAsia="Calibri"/>
          <w:noProof/>
          <w:sz w:val="28"/>
          <w:szCs w:val="28"/>
          <w:lang w:val="vi-VN"/>
        </w:rPr>
        <w:tab/>
      </w:r>
    </w:p>
    <w:p w14:paraId="148B3A45"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 Mức hỗ trợ 80% các khoản chi phí bao gồm:</w:t>
      </w:r>
    </w:p>
    <w:p w14:paraId="3C47315F"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Tư vấn, hỗ trợ kỹ thuật cho doanh nghiệp công nghiệp hỗ trợ.</w:t>
      </w:r>
    </w:p>
    <w:p w14:paraId="123DEE38"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Tư vấn, hỗ trợ doanh nghiệp đầu tư vào lĩnh vực công nghiệp hỗ trợ.</w:t>
      </w:r>
    </w:p>
    <w:p w14:paraId="6CE8929D"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b) </w:t>
      </w:r>
      <w:r w:rsidR="006A5B59" w:rsidRPr="008C28B5">
        <w:rPr>
          <w:rFonts w:eastAsia="Calibri"/>
          <w:noProof/>
          <w:sz w:val="28"/>
          <w:szCs w:val="28"/>
          <w:lang w:val="vi-VN"/>
        </w:rPr>
        <w:t>Chi t</w:t>
      </w:r>
      <w:r w:rsidRPr="00C15D0C">
        <w:rPr>
          <w:rFonts w:eastAsia="Calibri"/>
          <w:noProof/>
          <w:sz w:val="28"/>
          <w:szCs w:val="28"/>
          <w:lang w:val="vi-VN"/>
        </w:rPr>
        <w:t>ổ chức đánh giá, xác nhận năng lực doanh nghiệp công nghiệp hỗ trợ (Chi đánh giá năng lực doanh nghiệp):</w:t>
      </w:r>
      <w:r w:rsidRPr="00C15D0C">
        <w:rPr>
          <w:rFonts w:eastAsia="Calibri"/>
          <w:i/>
          <w:noProof/>
          <w:sz w:val="28"/>
          <w:szCs w:val="28"/>
          <w:lang w:val="vi-VN"/>
        </w:rPr>
        <w:t xml:space="preserve"> </w:t>
      </w:r>
      <w:r w:rsidRPr="00C15D0C">
        <w:rPr>
          <w:rFonts w:eastAsia="Calibri"/>
          <w:noProof/>
          <w:sz w:val="28"/>
          <w:szCs w:val="28"/>
          <w:lang w:val="vi-VN"/>
        </w:rPr>
        <w:t>5,6 triệu đồng/doanh nghiệp.</w:t>
      </w:r>
    </w:p>
    <w:p w14:paraId="314D7AAF"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c) </w:t>
      </w:r>
      <w:r w:rsidR="006A5B59" w:rsidRPr="008C28B5">
        <w:rPr>
          <w:rFonts w:eastAsia="Calibri"/>
          <w:noProof/>
          <w:sz w:val="28"/>
          <w:szCs w:val="28"/>
          <w:lang w:val="vi-VN"/>
        </w:rPr>
        <w:t>Chi đ</w:t>
      </w:r>
      <w:r w:rsidRPr="00C15D0C">
        <w:rPr>
          <w:rFonts w:eastAsia="Calibri"/>
          <w:noProof/>
          <w:sz w:val="28"/>
          <w:szCs w:val="28"/>
          <w:lang w:val="vi-VN"/>
        </w:rPr>
        <w:t>ánh giá và công nhận các doanh nghiệp có trình độ và quy mô đáp ứng yêu cầu quốc tế (Chi đánh giá năng lực doanh nghiệp): 5,7 triệu đồng/doanh nghiệp nếu thuê chuyên gia trong nước và 11,4 triệu đồng/doanh nghiệp nếu thuê chuyên gia nước ngoài.</w:t>
      </w:r>
    </w:p>
    <w:p w14:paraId="046869E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d) </w:t>
      </w:r>
      <w:r w:rsidR="006A5B59" w:rsidRPr="008C28B5">
        <w:rPr>
          <w:rFonts w:eastAsia="Calibri"/>
          <w:noProof/>
          <w:sz w:val="28"/>
          <w:szCs w:val="28"/>
          <w:lang w:val="vi-VN"/>
        </w:rPr>
        <w:t>Chi t</w:t>
      </w:r>
      <w:r w:rsidRPr="00C15D0C">
        <w:rPr>
          <w:rFonts w:eastAsia="Calibri"/>
          <w:noProof/>
          <w:sz w:val="28"/>
          <w:szCs w:val="28"/>
          <w:lang w:val="vi-VN"/>
        </w:rPr>
        <w:t>ổ chức hội thảo xúc tiến thu hút đầu tư trong và ngoài nước vào lĩnh vực công nghiệp hỗ trợ</w:t>
      </w:r>
      <w:r w:rsidR="006A5B59" w:rsidRPr="008C28B5">
        <w:rPr>
          <w:rFonts w:eastAsia="Calibri"/>
          <w:noProof/>
          <w:sz w:val="28"/>
          <w:szCs w:val="28"/>
          <w:lang w:val="vi-VN"/>
        </w:rPr>
        <w:t xml:space="preserve">: </w:t>
      </w:r>
      <w:r w:rsidRPr="00C15D0C">
        <w:rPr>
          <w:rFonts w:eastAsia="Calibri"/>
          <w:noProof/>
          <w:sz w:val="28"/>
          <w:szCs w:val="28"/>
          <w:lang w:val="vi-VN"/>
        </w:rPr>
        <w:t>56% các khoản chi phí.</w:t>
      </w:r>
    </w:p>
    <w:p w14:paraId="34B3DD6C" w14:textId="77777777" w:rsidR="007B2643" w:rsidRPr="008C28B5"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đ) </w:t>
      </w:r>
      <w:r w:rsidR="005A5E3D" w:rsidRPr="008C28B5">
        <w:rPr>
          <w:rFonts w:eastAsia="Calibri"/>
          <w:noProof/>
          <w:sz w:val="28"/>
          <w:szCs w:val="28"/>
          <w:lang w:val="vi-VN"/>
        </w:rPr>
        <w:t>Chi t</w:t>
      </w:r>
      <w:r w:rsidRPr="00C15D0C">
        <w:rPr>
          <w:rFonts w:eastAsia="Calibri"/>
          <w:noProof/>
          <w:sz w:val="28"/>
          <w:szCs w:val="28"/>
          <w:lang w:val="vi-VN"/>
        </w:rPr>
        <w:t xml:space="preserve">ổ chức, tham gia hội chợ triển lãm kết nối công nghiệp hỗ trợ trong nước </w:t>
      </w:r>
      <w:r w:rsidRPr="00C15D0C">
        <w:rPr>
          <w:noProof/>
          <w:sz w:val="28"/>
          <w:szCs w:val="28"/>
          <w:lang w:val="vi-VN"/>
        </w:rPr>
        <w:t xml:space="preserve">có quy mô tối thiểu là 200 gian hàng quy theo gian hàng tiêu chuẩn (3m x 3m) và 100 doanh nghiệp tham gia khi trung ương tổ chức; 150 gian hàng tiêu chuẩn và 75 doanh nghiệp tham gia khi địa phương tổ chức </w:t>
      </w:r>
      <w:r w:rsidRPr="00C15D0C">
        <w:rPr>
          <w:rFonts w:eastAsia="Calibri"/>
          <w:noProof/>
          <w:sz w:val="28"/>
          <w:szCs w:val="28"/>
          <w:lang w:val="vi-VN"/>
        </w:rPr>
        <w:t>(gồm các chi phí: thuê mặt bằng và thiết kế, dàn dựng gian hàng; dịch vụ phục vụ: Điện nước, vệ sinh, an ninh, bảo vệ; chi phí quản lý của đơn vị tổ chức hội chợ triển lãm; trang trí chung của hội chợ triển lãm; tổ chức khai mạc, bế mạc; tổ chức hội thảo)</w:t>
      </w:r>
      <w:r w:rsidR="007B2643" w:rsidRPr="008C28B5">
        <w:rPr>
          <w:rFonts w:eastAsia="Calibri"/>
          <w:noProof/>
          <w:sz w:val="28"/>
          <w:szCs w:val="28"/>
          <w:lang w:val="vi-VN"/>
        </w:rPr>
        <w:t>:</w:t>
      </w:r>
    </w:p>
    <w:p w14:paraId="7342408A" w14:textId="77777777" w:rsidR="00AE6542" w:rsidRPr="00C15D0C" w:rsidRDefault="00124EB3" w:rsidP="007B2643">
      <w:pPr>
        <w:pStyle w:val="NormalWeb"/>
        <w:shd w:val="clear" w:color="auto" w:fill="FFFFFF"/>
        <w:spacing w:before="40" w:beforeAutospacing="0" w:after="40" w:afterAutospacing="0" w:line="300" w:lineRule="auto"/>
        <w:jc w:val="both"/>
        <w:rPr>
          <w:rFonts w:eastAsia="Calibri"/>
          <w:noProof/>
          <w:sz w:val="28"/>
          <w:szCs w:val="28"/>
          <w:lang w:val="vi-VN"/>
        </w:rPr>
      </w:pPr>
      <w:r w:rsidRPr="00C15D0C">
        <w:rPr>
          <w:rFonts w:eastAsia="Calibri"/>
          <w:noProof/>
          <w:sz w:val="28"/>
          <w:szCs w:val="28"/>
          <w:lang w:val="vi-VN"/>
        </w:rPr>
        <w:t>9,6 triệu đồng/1 đơn vị tham gia.</w:t>
      </w:r>
    </w:p>
    <w:p w14:paraId="4FB2D2D6" w14:textId="77777777" w:rsidR="003F6D4C" w:rsidRPr="00C15D0C" w:rsidRDefault="00124EB3" w:rsidP="004B2637">
      <w:pPr>
        <w:pStyle w:val="NormalWeb"/>
        <w:shd w:val="clear" w:color="auto" w:fill="FFFFFF"/>
        <w:spacing w:before="40" w:beforeAutospacing="0" w:after="40" w:afterAutospacing="0" w:line="300" w:lineRule="auto"/>
        <w:ind w:firstLine="720"/>
        <w:jc w:val="both"/>
        <w:rPr>
          <w:rFonts w:eastAsia="Calibri"/>
          <w:noProof/>
          <w:sz w:val="28"/>
          <w:szCs w:val="28"/>
          <w:lang w:val="vi-VN"/>
        </w:rPr>
      </w:pPr>
      <w:r w:rsidRPr="00C15D0C">
        <w:rPr>
          <w:rFonts w:eastAsia="Calibri"/>
          <w:noProof/>
          <w:sz w:val="28"/>
          <w:szCs w:val="28"/>
          <w:lang w:val="vi-VN"/>
        </w:rPr>
        <w:t xml:space="preserve">e) </w:t>
      </w:r>
      <w:r w:rsidR="002E0286" w:rsidRPr="008C28B5">
        <w:rPr>
          <w:rFonts w:eastAsia="Calibri"/>
          <w:noProof/>
          <w:sz w:val="28"/>
          <w:szCs w:val="28"/>
          <w:lang w:val="vi-VN"/>
        </w:rPr>
        <w:t>Chi t</w:t>
      </w:r>
      <w:r w:rsidRPr="00C15D0C">
        <w:rPr>
          <w:rFonts w:eastAsia="Calibri"/>
          <w:noProof/>
          <w:sz w:val="28"/>
          <w:szCs w:val="28"/>
          <w:lang w:val="vi-VN"/>
        </w:rPr>
        <w:t xml:space="preserve">ổ chức, tham gia hội chợ triển lãm kết nối công nghiệp hỗ trợ tại nước ngoài </w:t>
      </w:r>
      <w:r w:rsidRPr="00C15D0C">
        <w:rPr>
          <w:noProof/>
          <w:sz w:val="28"/>
          <w:szCs w:val="28"/>
          <w:lang w:val="vi-VN"/>
        </w:rPr>
        <w:t xml:space="preserve">khi hội chợ triển lãm chuyên ngành công nghiệp hỗ trợ có quy mô tối thiểu 7 gian hàng quy theo gian hàng tiêu chuẩn (3m x 3m) và tối thiểu 7 doanh nghiệp tham gia </w:t>
      </w:r>
      <w:r w:rsidRPr="00C15D0C">
        <w:rPr>
          <w:rFonts w:eastAsia="Calibri"/>
          <w:noProof/>
          <w:sz w:val="28"/>
          <w:szCs w:val="28"/>
          <w:lang w:val="vi-VN"/>
        </w:rPr>
        <w:t>(thuê mặt bằng và thiết kế, dàn dựng gian hàng; trang trí chung của khu vực Việt Nam; chi phí tổ chức khai mạc; tổ chức hội thảo; trình diễn sản phẩ</w:t>
      </w:r>
      <w:r w:rsidR="002E0286">
        <w:rPr>
          <w:rFonts w:eastAsia="Calibri"/>
          <w:noProof/>
          <w:sz w:val="28"/>
          <w:szCs w:val="28"/>
          <w:lang w:val="vi-VN"/>
        </w:rPr>
        <w:t xml:space="preserve">m; chi khác): </w:t>
      </w:r>
      <w:r w:rsidRPr="00C15D0C">
        <w:rPr>
          <w:rFonts w:eastAsia="Calibri"/>
          <w:noProof/>
          <w:sz w:val="28"/>
          <w:szCs w:val="28"/>
          <w:lang w:val="vi-VN"/>
        </w:rPr>
        <w:t>120 triệu đồng/1 đơn vị tham gia.</w:t>
      </w:r>
    </w:p>
    <w:p w14:paraId="1A4F3A61" w14:textId="77777777" w:rsidR="00BC61EA"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g) </w:t>
      </w:r>
      <w:r w:rsidR="00BC61EA" w:rsidRPr="008C28B5">
        <w:rPr>
          <w:rFonts w:eastAsia="Calibri"/>
          <w:noProof/>
          <w:sz w:val="28"/>
          <w:szCs w:val="28"/>
          <w:lang w:val="vi-VN"/>
        </w:rPr>
        <w:t>Chi t</w:t>
      </w:r>
      <w:r w:rsidRPr="00C15D0C">
        <w:rPr>
          <w:rFonts w:eastAsia="Calibri"/>
          <w:noProof/>
          <w:sz w:val="28"/>
          <w:szCs w:val="28"/>
          <w:lang w:val="vi-VN"/>
        </w:rPr>
        <w:t xml:space="preserve">ổ chức đoàn giao dịch, xúc tiến đầu tư tại nước ngoài khi đoàn chuyên ngành công nghiệp hỗ trợ có tối thiểu 7 doanh nghiệp tham gia. </w:t>
      </w:r>
    </w:p>
    <w:p w14:paraId="6C7F5E86" w14:textId="77777777" w:rsidR="00BC61EA"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Mức hỗ trợ: 23 triệu đồng/01 đơn vị tham gia giao dịch thương mại tại khu vự</w:t>
      </w:r>
      <w:r w:rsidR="00BC61EA">
        <w:rPr>
          <w:rFonts w:eastAsia="Calibri"/>
          <w:noProof/>
          <w:sz w:val="28"/>
          <w:szCs w:val="28"/>
          <w:lang w:val="vi-VN"/>
        </w:rPr>
        <w:t>c Châu Á;</w:t>
      </w:r>
    </w:p>
    <w:p w14:paraId="6D5A18DD" w14:textId="77777777" w:rsidR="00BC61EA" w:rsidRDefault="00BC61EA"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Mức hỗ trợ: </w:t>
      </w:r>
      <w:r w:rsidR="00124EB3" w:rsidRPr="00C15D0C">
        <w:rPr>
          <w:rFonts w:eastAsia="Calibri"/>
          <w:noProof/>
          <w:sz w:val="28"/>
          <w:szCs w:val="28"/>
          <w:lang w:val="vi-VN"/>
        </w:rPr>
        <w:t xml:space="preserve">35 triệu đồng/01 đơn vị tham gia giao dịch thương mại tại khu vực Châu Âu, Châu Phi, Châu Úc, Bắc Mỹ, Tây Á; </w:t>
      </w:r>
    </w:p>
    <w:p w14:paraId="3478BC90" w14:textId="77777777" w:rsidR="003F6D4C" w:rsidRPr="00C15D0C" w:rsidRDefault="00BC61EA"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Mức hỗ trợ: </w:t>
      </w:r>
      <w:r w:rsidR="00124EB3" w:rsidRPr="00C15D0C">
        <w:rPr>
          <w:rFonts w:eastAsia="Calibri"/>
          <w:noProof/>
          <w:sz w:val="28"/>
          <w:szCs w:val="28"/>
          <w:lang w:val="vi-VN"/>
        </w:rPr>
        <w:t xml:space="preserve">56 triệu đồng/01 đơn vị tham gia giao dịch thương mại tại khu vực Trung Mỹ, Mỹ La-tinh. </w:t>
      </w:r>
    </w:p>
    <w:p w14:paraId="16E6B7E8"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h) </w:t>
      </w:r>
      <w:r w:rsidR="007C6FC7" w:rsidRPr="008C28B5">
        <w:rPr>
          <w:rFonts w:eastAsia="Calibri"/>
          <w:noProof/>
          <w:sz w:val="28"/>
          <w:szCs w:val="28"/>
          <w:lang w:val="vi-VN"/>
        </w:rPr>
        <w:t>Chi hỗ trợ d</w:t>
      </w:r>
      <w:r w:rsidRPr="00C15D0C">
        <w:rPr>
          <w:rFonts w:eastAsia="Calibri"/>
          <w:noProof/>
          <w:sz w:val="28"/>
          <w:szCs w:val="28"/>
          <w:lang w:val="vi-VN"/>
        </w:rPr>
        <w:t>oanh nghiệp quảng bá, đăng ký thương hiệu sản phẩm công nghiệp hỗ trợ: 40 triệu đồng/thương hiệu.</w:t>
      </w:r>
    </w:p>
    <w:p w14:paraId="2C29FFB9"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i) Chi phí tuyên truyền, quảng bá trên các phương tiện thông tin đại chúng về hoạt động công nghiệp hỗ trợ trên báo giấy, báo điện tử, truyền thanh, truyền hình, ấn phẩm và các hình thức phổ biến thông tin khác</w:t>
      </w:r>
      <w:r w:rsidR="00C17C60" w:rsidRPr="008C28B5">
        <w:rPr>
          <w:rFonts w:eastAsia="Calibri"/>
          <w:noProof/>
          <w:sz w:val="28"/>
          <w:szCs w:val="28"/>
          <w:lang w:val="vi-VN"/>
        </w:rPr>
        <w:t>:</w:t>
      </w:r>
      <w:r w:rsidRPr="00C15D0C">
        <w:rPr>
          <w:rFonts w:eastAsia="Calibri"/>
          <w:noProof/>
          <w:sz w:val="28"/>
          <w:szCs w:val="28"/>
          <w:lang w:val="vi-VN"/>
        </w:rPr>
        <w:t xml:space="preserve"> 56 triệu đồng/1 chuyên đề tuyên truyền.</w:t>
      </w:r>
    </w:p>
    <w:p w14:paraId="624417C6"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2. Hỗ trợ doanh nghiệp áp dụng hệ thống quản lý đáp ứng yêu cầu của các chuỗi sản xuất toàn cầu trong quản trị doanh nghiệp, quản trị sản xuất.</w:t>
      </w:r>
    </w:p>
    <w:p w14:paraId="6950F047"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 Đánh giá khả năng và nhu cầu áp dụng các tiêu chuẩn, hệ thống quản lý trong sản xuất tại các doanh nghiệp</w:t>
      </w:r>
    </w:p>
    <w:p w14:paraId="611EBC77"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nghiên cứu xây dựng tiêu chí, chỉ tiêu đánh giá, Hội thảo công bố kết quả đánh giá</w:t>
      </w:r>
      <w:r w:rsidR="00EF3DC8" w:rsidRPr="008C28B5">
        <w:rPr>
          <w:rFonts w:eastAsia="Calibri"/>
          <w:noProof/>
          <w:sz w:val="28"/>
          <w:szCs w:val="28"/>
          <w:lang w:val="vi-VN"/>
        </w:rPr>
        <w:t xml:space="preserve">: </w:t>
      </w:r>
      <w:r w:rsidRPr="00C15D0C">
        <w:rPr>
          <w:rFonts w:eastAsia="Calibri"/>
          <w:noProof/>
          <w:sz w:val="28"/>
          <w:szCs w:val="28"/>
          <w:lang w:val="vi-VN"/>
        </w:rPr>
        <w:t>80% chi phí.</w:t>
      </w:r>
    </w:p>
    <w:p w14:paraId="733117E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đánh giá năng lực doanh nghiệp</w:t>
      </w:r>
      <w:r w:rsidR="00EB4D4E" w:rsidRPr="008C28B5">
        <w:rPr>
          <w:rFonts w:eastAsia="Calibri"/>
          <w:noProof/>
          <w:sz w:val="28"/>
          <w:szCs w:val="28"/>
          <w:lang w:val="vi-VN"/>
        </w:rPr>
        <w:t xml:space="preserve">: </w:t>
      </w:r>
      <w:r w:rsidRPr="00C15D0C">
        <w:rPr>
          <w:rFonts w:eastAsia="Calibri"/>
          <w:noProof/>
          <w:sz w:val="28"/>
          <w:szCs w:val="28"/>
          <w:lang w:val="vi-VN"/>
        </w:rPr>
        <w:t>5,6 triệu đồng/doanh nghiệ</w:t>
      </w:r>
      <w:r w:rsidR="00EB4D4E">
        <w:rPr>
          <w:rFonts w:eastAsia="Calibri"/>
          <w:noProof/>
          <w:sz w:val="28"/>
          <w:szCs w:val="28"/>
          <w:lang w:val="vi-VN"/>
        </w:rPr>
        <w:t>p.</w:t>
      </w:r>
    </w:p>
    <w:p w14:paraId="74F937FC" w14:textId="36095198" w:rsidR="003F6D4C" w:rsidRPr="00C15D0C" w:rsidRDefault="00124EB3" w:rsidP="008C28B5">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b) </w:t>
      </w:r>
      <w:r w:rsidR="00EB4D4E" w:rsidRPr="008C28B5">
        <w:rPr>
          <w:rFonts w:eastAsia="Calibri"/>
          <w:noProof/>
          <w:sz w:val="28"/>
          <w:szCs w:val="28"/>
          <w:lang w:val="vi-VN"/>
        </w:rPr>
        <w:t>Chi x</w:t>
      </w:r>
      <w:r w:rsidRPr="00C15D0C">
        <w:rPr>
          <w:rFonts w:eastAsia="Calibri"/>
          <w:noProof/>
          <w:sz w:val="28"/>
          <w:szCs w:val="28"/>
          <w:lang w:val="vi-VN"/>
        </w:rPr>
        <w:t>ây dựng chương trình, tổ chức đào tạo cho các doanh nghiệ</w:t>
      </w:r>
      <w:r w:rsidR="007B2643">
        <w:rPr>
          <w:rFonts w:eastAsia="Calibri"/>
          <w:noProof/>
          <w:sz w:val="28"/>
          <w:szCs w:val="28"/>
          <w:lang w:val="vi-VN"/>
        </w:rPr>
        <w:t>p:</w:t>
      </w:r>
      <w:r w:rsidR="008C28B5" w:rsidRPr="008C28B5">
        <w:rPr>
          <w:rFonts w:eastAsia="Calibri"/>
          <w:noProof/>
          <w:sz w:val="28"/>
          <w:szCs w:val="28"/>
          <w:lang w:val="vi-VN"/>
        </w:rPr>
        <w:t xml:space="preserve">           </w:t>
      </w:r>
      <w:r w:rsidRPr="00C15D0C">
        <w:rPr>
          <w:rFonts w:eastAsia="Calibri"/>
          <w:noProof/>
          <w:sz w:val="28"/>
          <w:szCs w:val="28"/>
          <w:lang w:val="vi-VN"/>
        </w:rPr>
        <w:t xml:space="preserve">25 triệu đồng/doanh nghiệp. </w:t>
      </w:r>
    </w:p>
    <w:p w14:paraId="17E5B0E4"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w:t>
      </w:r>
      <w:r w:rsidR="00EB4D4E" w:rsidRPr="008C28B5">
        <w:rPr>
          <w:rFonts w:eastAsia="Calibri"/>
          <w:noProof/>
          <w:sz w:val="28"/>
          <w:szCs w:val="28"/>
          <w:lang w:val="vi-VN"/>
        </w:rPr>
        <w:t xml:space="preserve"> Chi đ</w:t>
      </w:r>
      <w:r w:rsidRPr="00C15D0C">
        <w:rPr>
          <w:rFonts w:eastAsia="Calibri"/>
          <w:noProof/>
          <w:sz w:val="28"/>
          <w:szCs w:val="28"/>
          <w:lang w:val="vi-VN"/>
        </w:rPr>
        <w:t>ánh giá, công nhận hệ thống quản trị doanh nghiệp và quản trị sản xuất: 120 triệu đồng/doanh nghiệp.</w:t>
      </w:r>
    </w:p>
    <w:p w14:paraId="61BFD57F"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3. Chi phí đào tạo nâng cao chất lượng nguồn nhân lực đáp ứng yêu cầu của các ngành sản xuất sản phẩm công nghiệp hỗ trợ. </w:t>
      </w:r>
    </w:p>
    <w:p w14:paraId="176E4B98"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a) </w:t>
      </w:r>
      <w:r w:rsidR="00EB4D4E" w:rsidRPr="008C28B5">
        <w:rPr>
          <w:rFonts w:eastAsia="Calibri"/>
          <w:noProof/>
          <w:sz w:val="28"/>
          <w:szCs w:val="28"/>
          <w:lang w:val="vi-VN"/>
        </w:rPr>
        <w:t>Chi n</w:t>
      </w:r>
      <w:r w:rsidRPr="00C15D0C">
        <w:rPr>
          <w:rFonts w:eastAsia="Calibri"/>
          <w:noProof/>
          <w:sz w:val="28"/>
          <w:szCs w:val="28"/>
          <w:lang w:val="vi-VN"/>
        </w:rPr>
        <w:t xml:space="preserve">ghiên cứu, đánh giá nhu cầu về nhân lực của doanh nghiệp công nghiệp hỗ trợ: 5,6 triệu đồng/doanh nghiệp. </w:t>
      </w:r>
    </w:p>
    <w:p w14:paraId="7D56D39E"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b) </w:t>
      </w:r>
      <w:r w:rsidR="00EB4D4E" w:rsidRPr="008C28B5">
        <w:rPr>
          <w:rFonts w:eastAsia="Calibri"/>
          <w:noProof/>
          <w:sz w:val="28"/>
          <w:szCs w:val="28"/>
          <w:lang w:val="vi-VN"/>
        </w:rPr>
        <w:t xml:space="preserve">Chi </w:t>
      </w:r>
      <w:r w:rsidR="00EB4D4E" w:rsidRPr="00C15D0C">
        <w:rPr>
          <w:rFonts w:eastAsia="Calibri"/>
          <w:noProof/>
          <w:sz w:val="28"/>
          <w:szCs w:val="28"/>
          <w:lang w:val="vi-VN"/>
        </w:rPr>
        <w:t xml:space="preserve">hỗ trợ </w:t>
      </w:r>
      <w:r w:rsidR="00EB4D4E" w:rsidRPr="008C28B5">
        <w:rPr>
          <w:rFonts w:eastAsia="Calibri"/>
          <w:noProof/>
          <w:sz w:val="28"/>
          <w:szCs w:val="28"/>
          <w:lang w:val="vi-VN"/>
        </w:rPr>
        <w:t>t</w:t>
      </w:r>
      <w:r w:rsidRPr="00C15D0C">
        <w:rPr>
          <w:rFonts w:eastAsia="Calibri"/>
          <w:noProof/>
          <w:sz w:val="28"/>
          <w:szCs w:val="28"/>
          <w:lang w:val="vi-VN"/>
        </w:rPr>
        <w:t>ổ chức các lớp bồi dưỡng, tập huấn, đào tạo cho cán bộ quản lý nhà nước; cán bộ quản lý, công nhân kỹ thuật của doanh nghiệp sản xuất sản phẩm công nghiệp hỗ trợ (Chi xây dựng chương trình; in ấn tài liệu, giáo trình trực tiếp phục vụ lớp học; văn phòng phẩm; nước uống; thuê phương tiện, hội trường, trang thiết bị phục vụ lớp học; vật tư thực hành lớp học; chi bồi dưỡng cho giảng viên trong nước, chuyên gia nước ngoài, hướng dẫn viên thực hành thao tác kỹ thuật, chi tiền đi lại, tiền ở, phiên dịch; chi cho học viên: Hỗ trợ tiền ăn, đi lại, tiền ở; chi khác: Khai giảng, bế giảng, in chứng chỉ, tiền y tế cho lớp học, khen thưởng)</w:t>
      </w:r>
      <w:r w:rsidR="00EB4D4E" w:rsidRPr="008C28B5">
        <w:rPr>
          <w:rFonts w:eastAsia="Calibri"/>
          <w:noProof/>
          <w:sz w:val="28"/>
          <w:szCs w:val="28"/>
          <w:lang w:val="vi-VN"/>
        </w:rPr>
        <w:t>:</w:t>
      </w:r>
      <w:r w:rsidRPr="00C15D0C">
        <w:rPr>
          <w:rFonts w:eastAsia="Calibri"/>
          <w:noProof/>
          <w:sz w:val="28"/>
          <w:szCs w:val="28"/>
          <w:lang w:val="vi-VN"/>
        </w:rPr>
        <w:t xml:space="preserve"> 56% các khoản chi phí.</w:t>
      </w:r>
    </w:p>
    <w:p w14:paraId="07014698"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4. Hỗ trợ nghiên cứu phát triển, ứng dụng chuyển giao và đổi mới công nghệ trong sản xuất thử nghiệm linh kiện, phụ tùng, nguyên liệu và vật liệu.</w:t>
      </w:r>
    </w:p>
    <w:p w14:paraId="56FDE1CD"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 Chi mua trang thiết bị thử nghiệm chính cho các phòng thử nghiệm để nâng cao năng lực các Trung tâm Khuyến công và Phát triển Công thương tỉnh Phú Thọ theo đề án do Bộ Công Thương phê duyệt</w:t>
      </w:r>
      <w:r w:rsidR="00D11AFF" w:rsidRPr="008C28B5">
        <w:rPr>
          <w:rFonts w:eastAsia="Calibri"/>
          <w:noProof/>
          <w:sz w:val="28"/>
          <w:szCs w:val="28"/>
          <w:lang w:val="vi-VN"/>
        </w:rPr>
        <w:t xml:space="preserve">: </w:t>
      </w:r>
      <w:r w:rsidRPr="00C15D0C">
        <w:rPr>
          <w:rFonts w:eastAsia="Calibri"/>
          <w:noProof/>
          <w:sz w:val="28"/>
          <w:szCs w:val="28"/>
          <w:lang w:val="vi-VN"/>
        </w:rPr>
        <w:t>80% chi phí.</w:t>
      </w:r>
    </w:p>
    <w:p w14:paraId="64CC523B"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b) Chi phí xây dựng tiêu chuẩn: 114 triệu đồng/doanh nghiệp. </w:t>
      </w:r>
    </w:p>
    <w:p w14:paraId="0D7B9CB2"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c) Chi giới thiệu, phổ biến một số quy trình công nghệ sản xuất và yêu cầu kỹ thuật về sản phẩm công nghiệp hỗ trợ cho các doanh nghiệp công nghiệp hỗ trợ tại tỉnh Phú Thọ: 23 triệu đồng/doanh nghiệp. </w:t>
      </w:r>
    </w:p>
    <w:p w14:paraId="5A37046C"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d) Chi thuê chuyên gia trong và ngoài nước hỗ trợ trực tiếp cho các doanh nghiệp sản xuất công nghiệp hỗ trợ trong nước trên địa bàn tỉnh Phú Thọ: 56 triệu đồng/doanh nghiệp.</w:t>
      </w:r>
    </w:p>
    <w:p w14:paraId="0BB18013"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đ) Chi hợp tác quốc tế trong đào tạo, nghiên cứu, chuyển giao công nghệ: 56 triệu đồng/doanh nghiệp.</w:t>
      </w:r>
    </w:p>
    <w:p w14:paraId="338B0E67"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e) Mức hỗ trợ 40% cho các nội dung sau:</w:t>
      </w:r>
    </w:p>
    <w:p w14:paraId="78B4536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Nghiên cứu ứng dụng, sản xuất thử nghiệm, chuyển giao công nghệ cho các doanh nghiệp và các cơ sở nghiên cứu trong lĩnh vực công nghiệp hỗ trợ.</w:t>
      </w:r>
    </w:p>
    <w:p w14:paraId="38F10D15"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Hỗ trợ doanh nghiệp công nghiệp hỗ trợ hoàn thiện, đổi mới công nghệ và sản xuất thử nghiệm.</w:t>
      </w:r>
    </w:p>
    <w:p w14:paraId="128FB6F9"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Hỗ trợ doanh nghiệp tiếp nhận chuyển giao công nghệ tiên tiến, hiện đại; mua bản quyền, sáng chế, phần mềm; thuê chuyên gia nước ngoài và đào tạo nguồn nhân lực.</w:t>
      </w:r>
    </w:p>
    <w:p w14:paraId="2E6B27D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phí thực hiện dự án nghiên cứu và sản xuất thử nghiệm các sản phẩm công nghiệp hỗ trợ.</w:t>
      </w:r>
    </w:p>
    <w:p w14:paraId="5FE4B547"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Xây dựng, hoàn thiện tiêu chí để đánh giá doanh nghiệp về công nghệ và sản phẩm công nghiệp hỗ trợ.</w:t>
      </w:r>
    </w:p>
    <w:p w14:paraId="640B51E3"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5. Hỗ trợ xây dựng và công bố thông tin về công nghiệp hỗ trợ hàng năm. </w:t>
      </w:r>
    </w:p>
    <w:p w14:paraId="21515D4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 Mức hỗ trợ 80% cho các nội dung sau:</w:t>
      </w:r>
    </w:p>
    <w:p w14:paraId="4974A1F8"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phí khảo sát, xây dựng và cập nhật cơ sở dữ liệu doanh nghiệp sản xuất sản phẩm hoàn chỉnh và sản phẩm công nghiệp hỗ trợ trong các lĩnh vực dệt may, da giày, điện tử, sản xuất lắp ráp ô tô, cơ khí chế tạo (bao gồm cả các sản phẩm cơ khí trọng điểm), công nghiệp công nghệ cao.</w:t>
      </w:r>
    </w:p>
    <w:p w14:paraId="1A7688E1"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phí nhập dữ liệu, tạo lập các trang siêu văn bản, tạo lập thông tin điện tử trên cơ sở các dữ liệu có sẵn, chi số hóa thông tin.</w:t>
      </w:r>
    </w:p>
    <w:p w14:paraId="506DD4C9"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phí xuất bản các ấn phẩm về công nghiệp hỗ trợ, vận hành trang thông tin điện tử về công nghiệp hỗ trợ.</w:t>
      </w:r>
    </w:p>
    <w:p w14:paraId="208913F0"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Chi phí tổ chức hội thảo (thuê hội trường, thiết bị, trang trí, âm thanh, ánh sáng, phiên dịch, an ninh, lễ tân, nước uống, tài liệu, diễn giả).</w:t>
      </w:r>
    </w:p>
    <w:p w14:paraId="45CEADC3"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b) Chi phí mua cơ sở dữ liệu, cung cấp thông tin cung cầu về thị trường sản phẩm công nghiệp hỗ trợ và chính sách về công nghiệp hỗ trợ (chi phí mua tư liệu; chi phí điều tra, khảo sát và tổng hợp tư liệu; chi phí xuất bản và phát hành; các khoản chi khác): 1,6 triệu đồng/1 đơn vị đăng ký và nhận thông tin.</w:t>
      </w:r>
    </w:p>
    <w:p w14:paraId="24ECE7EF"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6. </w:t>
      </w:r>
      <w:r w:rsidR="00E43AD9" w:rsidRPr="008C28B5">
        <w:rPr>
          <w:rFonts w:eastAsia="Calibri"/>
          <w:noProof/>
          <w:sz w:val="28"/>
          <w:szCs w:val="28"/>
          <w:lang w:val="vi-VN"/>
        </w:rPr>
        <w:t>Chi q</w:t>
      </w:r>
      <w:r w:rsidRPr="00C15D0C">
        <w:rPr>
          <w:rFonts w:eastAsia="Calibri"/>
          <w:noProof/>
          <w:sz w:val="28"/>
          <w:szCs w:val="28"/>
          <w:lang w:val="vi-VN"/>
        </w:rPr>
        <w:t>uản lý kinh phí phát triển công nghiệp hỗ trợ</w:t>
      </w:r>
    </w:p>
    <w:p w14:paraId="2F8A8A5A"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a) Sở Công Thương (cơ quan quản lý kinh phí hỗ trợ) được bố trí 1,5% tổng kinh phí hỗ trợ và nằm trong dự toán ngân sách do Ủy ban nhân dân tỉnh giao hàng năm để tổ chức thẩm định, kiểm tra, giám sát, nghiệm thu; chi phí làm thêm giờ theo chế độ quy định; văn phòng phẩm, điện thoại, bưu chính, điện nước; chi công tác phí, xăng dầu, thuê xe đi kiểm tra và thuê chuyên gia.</w:t>
      </w:r>
      <w:r w:rsidRPr="00C15D0C">
        <w:rPr>
          <w:rFonts w:eastAsia="Calibri"/>
          <w:noProof/>
          <w:sz w:val="28"/>
          <w:szCs w:val="28"/>
          <w:lang w:val="vi-VN"/>
        </w:rPr>
        <w:tab/>
      </w:r>
    </w:p>
    <w:p w14:paraId="70EA5FF5" w14:textId="77777777" w:rsidR="003F6D4C" w:rsidRPr="00C15D0C"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b) Sở Công Thương là đơn vị trực tiếp quản lý, cấp phát và quyết toán kinh phí hỗ trợ bằng 3% dự toán các đề án để chi công tác quản lý, chỉ đạo, kiểm tra, giám sát, chi khác.</w:t>
      </w:r>
    </w:p>
    <w:p w14:paraId="6A701BDC" w14:textId="77777777" w:rsidR="003F6D4C" w:rsidRPr="00F91C2F" w:rsidRDefault="00124EB3"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C15D0C">
        <w:rPr>
          <w:rFonts w:eastAsia="Calibri"/>
          <w:noProof/>
          <w:sz w:val="28"/>
          <w:szCs w:val="28"/>
          <w:lang w:val="vi-VN"/>
        </w:rPr>
        <w:t xml:space="preserve">7. Đối với những nội dung chi phát triển công nghiệp hỗ trợ chưa quy định mức chi cụ thể sẽ thực hiện theo các văn bản pháp luật hiện hành </w:t>
      </w:r>
      <w:r w:rsidRPr="00F91C2F">
        <w:rPr>
          <w:rFonts w:eastAsia="Calibri"/>
          <w:noProof/>
          <w:sz w:val="28"/>
          <w:szCs w:val="28"/>
          <w:lang w:val="vi-VN"/>
        </w:rPr>
        <w:t xml:space="preserve">và không vượt quá 80% mức chi </w:t>
      </w:r>
      <w:r w:rsidR="006C019D" w:rsidRPr="008C28B5">
        <w:rPr>
          <w:rFonts w:eastAsia="Calibri"/>
          <w:noProof/>
          <w:sz w:val="28"/>
          <w:szCs w:val="28"/>
          <w:lang w:val="vi-VN"/>
        </w:rPr>
        <w:t xml:space="preserve">quy định </w:t>
      </w:r>
      <w:r w:rsidR="00457D44" w:rsidRPr="008C28B5">
        <w:rPr>
          <w:rFonts w:eastAsia="Calibri"/>
          <w:noProof/>
          <w:sz w:val="28"/>
          <w:szCs w:val="28"/>
          <w:lang w:val="vi-VN"/>
        </w:rPr>
        <w:t>tại các văn bản đó</w:t>
      </w:r>
      <w:r w:rsidRPr="00F91C2F">
        <w:rPr>
          <w:rFonts w:eastAsia="Calibri"/>
          <w:noProof/>
          <w:sz w:val="28"/>
          <w:szCs w:val="28"/>
          <w:lang w:val="vi-VN"/>
        </w:rPr>
        <w:t>.</w:t>
      </w:r>
    </w:p>
    <w:p w14:paraId="69E9A973" w14:textId="77777777" w:rsidR="00AE6542" w:rsidRPr="00C15D0C" w:rsidRDefault="00AE6542" w:rsidP="004B2637">
      <w:pPr>
        <w:pStyle w:val="NormalWeb"/>
        <w:shd w:val="clear" w:color="auto" w:fill="FFFFFF"/>
        <w:spacing w:before="40" w:beforeAutospacing="0" w:after="40" w:afterAutospacing="0" w:line="300" w:lineRule="auto"/>
        <w:ind w:firstLine="720"/>
        <w:jc w:val="both"/>
        <w:rPr>
          <w:noProof/>
          <w:sz w:val="28"/>
          <w:szCs w:val="28"/>
          <w:lang w:val="vi-VN"/>
        </w:rPr>
      </w:pPr>
      <w:r w:rsidRPr="008C28B5">
        <w:rPr>
          <w:noProof/>
          <w:sz w:val="28"/>
          <w:szCs w:val="28"/>
          <w:lang w:val="vi-VN"/>
        </w:rPr>
        <w:t>8</w:t>
      </w:r>
      <w:r w:rsidRPr="00C15D0C">
        <w:rPr>
          <w:noProof/>
          <w:sz w:val="28"/>
          <w:szCs w:val="28"/>
          <w:lang w:val="vi-VN"/>
        </w:rPr>
        <w:t xml:space="preserve">. Trường hợp cùng một thời điểm, nội dung, đơn vị triển khai nếu có nhiều chính sách ưu đãi, hỗ trợ khác nhau, đối tượng thụ hưởng được lựa chọn áp dụng </w:t>
      </w:r>
      <w:r w:rsidR="009D0A94" w:rsidRPr="008C28B5">
        <w:rPr>
          <w:noProof/>
          <w:sz w:val="28"/>
          <w:szCs w:val="28"/>
          <w:lang w:val="vi-VN"/>
        </w:rPr>
        <w:t xml:space="preserve">một </w:t>
      </w:r>
      <w:r w:rsidRPr="00C15D0C">
        <w:rPr>
          <w:noProof/>
          <w:sz w:val="28"/>
          <w:szCs w:val="28"/>
          <w:lang w:val="vi-VN"/>
        </w:rPr>
        <w:t>chính sách ưu đãi, hỗ trợ có lợi nhất.</w:t>
      </w:r>
    </w:p>
    <w:p w14:paraId="44169B83" w14:textId="77777777" w:rsidR="003F6D4C" w:rsidRPr="00C15D0C" w:rsidRDefault="00124EB3" w:rsidP="004B2637">
      <w:pPr>
        <w:spacing w:before="40" w:after="40" w:line="300" w:lineRule="auto"/>
        <w:ind w:firstLine="709"/>
        <w:jc w:val="both"/>
        <w:rPr>
          <w:noProof/>
          <w:lang w:val="vi-VN"/>
        </w:rPr>
      </w:pPr>
      <w:bookmarkStart w:id="2" w:name="_Hlk180672979"/>
      <w:r w:rsidRPr="00C15D0C">
        <w:rPr>
          <w:b/>
          <w:noProof/>
          <w:lang w:val="vi-VN"/>
        </w:rPr>
        <w:t>Điều 3.</w:t>
      </w:r>
      <w:r w:rsidRPr="00C15D0C">
        <w:rPr>
          <w:noProof/>
          <w:lang w:val="vi-VN"/>
        </w:rPr>
        <w:t xml:space="preserve"> </w:t>
      </w:r>
      <w:r w:rsidRPr="00C15D0C">
        <w:rPr>
          <w:b/>
          <w:noProof/>
          <w:lang w:val="vi-VN"/>
        </w:rPr>
        <w:t>Nguồn kinh phí thực hiện</w:t>
      </w:r>
      <w:r w:rsidRPr="00C15D0C">
        <w:rPr>
          <w:noProof/>
          <w:lang w:val="vi-VN"/>
        </w:rPr>
        <w:t xml:space="preserve"> </w:t>
      </w:r>
    </w:p>
    <w:p w14:paraId="3258B84C" w14:textId="77777777" w:rsidR="003F6D4C" w:rsidRPr="00C15D0C" w:rsidRDefault="00B84B47"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8C28B5">
        <w:rPr>
          <w:rFonts w:eastAsia="Calibri"/>
          <w:noProof/>
          <w:sz w:val="28"/>
          <w:szCs w:val="28"/>
          <w:lang w:val="vi-VN"/>
        </w:rPr>
        <w:t>1.</w:t>
      </w:r>
      <w:r w:rsidR="00124EB3" w:rsidRPr="00C15D0C">
        <w:rPr>
          <w:rFonts w:eastAsia="Calibri"/>
          <w:noProof/>
          <w:sz w:val="28"/>
          <w:szCs w:val="28"/>
          <w:lang w:val="vi-VN"/>
        </w:rPr>
        <w:t xml:space="preserve"> Ngân sách tỉnh được bố trí trong dự toán hàng năm. </w:t>
      </w:r>
    </w:p>
    <w:p w14:paraId="10A30EEF" w14:textId="77777777" w:rsidR="003F6D4C" w:rsidRPr="00C15D0C" w:rsidRDefault="00B84B47"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8C28B5">
        <w:rPr>
          <w:rFonts w:eastAsia="Calibri"/>
          <w:noProof/>
          <w:sz w:val="28"/>
          <w:szCs w:val="28"/>
          <w:lang w:val="vi-VN"/>
        </w:rPr>
        <w:t>2.</w:t>
      </w:r>
      <w:r w:rsidR="00124EB3" w:rsidRPr="00C15D0C">
        <w:rPr>
          <w:rFonts w:eastAsia="Calibri"/>
          <w:noProof/>
          <w:sz w:val="28"/>
          <w:szCs w:val="28"/>
          <w:lang w:val="vi-VN"/>
        </w:rPr>
        <w:t xml:space="preserve"> </w:t>
      </w:r>
      <w:r w:rsidR="009339D0" w:rsidRPr="008C28B5">
        <w:rPr>
          <w:rFonts w:eastAsia="Calibri"/>
          <w:noProof/>
          <w:sz w:val="28"/>
          <w:szCs w:val="28"/>
          <w:lang w:val="vi-VN"/>
        </w:rPr>
        <w:t>Từ nguồn</w:t>
      </w:r>
      <w:r w:rsidR="00124EB3" w:rsidRPr="00C15D0C">
        <w:rPr>
          <w:rFonts w:eastAsia="Calibri"/>
          <w:noProof/>
          <w:sz w:val="28"/>
          <w:szCs w:val="28"/>
          <w:lang w:val="vi-VN"/>
        </w:rPr>
        <w:t xml:space="preserve"> lồng ghép các dự án thuộc Chương trình mục tiêu quốc gia và các Chương trình phát triển kinh tế - xã hội.</w:t>
      </w:r>
    </w:p>
    <w:p w14:paraId="5A8099B3" w14:textId="77777777" w:rsidR="003F6D4C" w:rsidRPr="00C15D0C" w:rsidRDefault="00B84B47" w:rsidP="004B2637">
      <w:pPr>
        <w:pStyle w:val="NormalWeb"/>
        <w:shd w:val="clear" w:color="auto" w:fill="FFFFFF"/>
        <w:spacing w:before="40" w:beforeAutospacing="0" w:after="40" w:afterAutospacing="0" w:line="300" w:lineRule="auto"/>
        <w:ind w:firstLine="709"/>
        <w:jc w:val="both"/>
        <w:rPr>
          <w:rFonts w:eastAsia="Calibri"/>
          <w:noProof/>
          <w:sz w:val="28"/>
          <w:szCs w:val="28"/>
          <w:lang w:val="vi-VN"/>
        </w:rPr>
      </w:pPr>
      <w:r w:rsidRPr="008C28B5">
        <w:rPr>
          <w:rFonts w:eastAsia="Calibri"/>
          <w:noProof/>
          <w:sz w:val="28"/>
          <w:szCs w:val="28"/>
          <w:lang w:val="vi-VN"/>
        </w:rPr>
        <w:t>3.</w:t>
      </w:r>
      <w:r w:rsidR="00124EB3" w:rsidRPr="00C15D0C">
        <w:rPr>
          <w:rFonts w:eastAsia="Calibri"/>
          <w:noProof/>
          <w:sz w:val="28"/>
          <w:szCs w:val="28"/>
          <w:lang w:val="vi-VN"/>
        </w:rPr>
        <w:t xml:space="preserve"> </w:t>
      </w:r>
      <w:r w:rsidR="00245C83" w:rsidRPr="008C28B5">
        <w:rPr>
          <w:rFonts w:eastAsia="Calibri"/>
          <w:noProof/>
          <w:sz w:val="28"/>
          <w:szCs w:val="28"/>
          <w:lang w:val="vi-VN"/>
        </w:rPr>
        <w:t>K</w:t>
      </w:r>
      <w:r w:rsidR="00245C83" w:rsidRPr="008B748A">
        <w:rPr>
          <w:noProof/>
          <w:sz w:val="28"/>
          <w:szCs w:val="28"/>
          <w:lang w:val="vi-VN"/>
        </w:rPr>
        <w:t xml:space="preserve">inh phí </w:t>
      </w:r>
      <w:r w:rsidR="00124EB3" w:rsidRPr="00C15D0C">
        <w:rPr>
          <w:rFonts w:eastAsia="Calibri"/>
          <w:noProof/>
          <w:sz w:val="28"/>
          <w:szCs w:val="28"/>
          <w:lang w:val="vi-VN"/>
        </w:rPr>
        <w:t>huy động từ các nguồn hợp pháp khác.</w:t>
      </w:r>
    </w:p>
    <w:bookmarkEnd w:id="2"/>
    <w:p w14:paraId="12954EAF" w14:textId="77777777" w:rsidR="003F6D4C" w:rsidRPr="00C15D0C" w:rsidRDefault="00124EB3" w:rsidP="004B2637">
      <w:pPr>
        <w:autoSpaceDE w:val="0"/>
        <w:autoSpaceDN w:val="0"/>
        <w:spacing w:before="40" w:after="40" w:line="300" w:lineRule="auto"/>
        <w:ind w:firstLine="709"/>
        <w:rPr>
          <w:b/>
          <w:noProof/>
          <w:lang w:val="vi-VN"/>
        </w:rPr>
      </w:pPr>
      <w:r w:rsidRPr="00C15D0C">
        <w:rPr>
          <w:b/>
          <w:bCs/>
          <w:noProof/>
          <w:lang w:val="vi-VN"/>
        </w:rPr>
        <w:t xml:space="preserve">Điều 4. </w:t>
      </w:r>
      <w:r w:rsidRPr="00C15D0C">
        <w:rPr>
          <w:b/>
          <w:noProof/>
          <w:lang w:val="vi-VN"/>
        </w:rPr>
        <w:t>Tổ chức thực hiện</w:t>
      </w:r>
    </w:p>
    <w:p w14:paraId="4250E57B" w14:textId="1E2425CA" w:rsidR="00AE6542" w:rsidRPr="00C15D0C" w:rsidRDefault="00124EB3" w:rsidP="00816020">
      <w:pPr>
        <w:spacing w:before="40" w:after="40" w:line="300" w:lineRule="auto"/>
        <w:ind w:firstLine="720"/>
        <w:jc w:val="both"/>
        <w:rPr>
          <w:noProof/>
          <w:lang w:val="vi-VN"/>
        </w:rPr>
      </w:pPr>
      <w:r w:rsidRPr="00C15D0C">
        <w:rPr>
          <w:noProof/>
          <w:lang w:val="vi-VN"/>
        </w:rPr>
        <w:t xml:space="preserve">1. </w:t>
      </w:r>
      <w:r w:rsidR="00AE6542" w:rsidRPr="00C15D0C">
        <w:rPr>
          <w:noProof/>
          <w:lang w:val="vi-VN"/>
        </w:rPr>
        <w:t xml:space="preserve">Ủy ban nhân dân tỉnh tổ chức triển khai thực hiện Nghị quyết đảm bảo đúng các quy định của pháp luật. </w:t>
      </w:r>
    </w:p>
    <w:p w14:paraId="3480879C" w14:textId="50CD1D43" w:rsidR="00AE6542" w:rsidRPr="00C15D0C" w:rsidRDefault="00816020" w:rsidP="004B2637">
      <w:pPr>
        <w:pStyle w:val="NormalWeb"/>
        <w:shd w:val="clear" w:color="auto" w:fill="FFFFFF"/>
        <w:spacing w:before="40" w:beforeAutospacing="0" w:after="40" w:afterAutospacing="0" w:line="300" w:lineRule="auto"/>
        <w:ind w:firstLine="720"/>
        <w:jc w:val="both"/>
        <w:rPr>
          <w:rFonts w:eastAsia="Calibri"/>
          <w:noProof/>
          <w:sz w:val="28"/>
          <w:szCs w:val="28"/>
          <w:lang w:val="vi-VN"/>
        </w:rPr>
      </w:pPr>
      <w:r w:rsidRPr="004E3B48">
        <w:rPr>
          <w:rFonts w:eastAsia="Calibri"/>
          <w:noProof/>
          <w:sz w:val="28"/>
          <w:szCs w:val="28"/>
          <w:lang w:val="vi-VN"/>
        </w:rPr>
        <w:t>2</w:t>
      </w:r>
      <w:r w:rsidR="00AE6542" w:rsidRPr="00C15D0C">
        <w:rPr>
          <w:rFonts w:eastAsia="Calibri"/>
          <w:noProof/>
          <w:sz w:val="28"/>
          <w:szCs w:val="28"/>
          <w:lang w:val="vi-VN"/>
        </w:rPr>
        <w:t>. Thường trực Hội đồng nhân dân, các Ban của Hội đồng nhân dân, các Tổ đại biểu Hội đồng nhân dân và đại biểu Hội đồng nhân dân tỉnh giám sát việc thực hiện Nghị quyết.</w:t>
      </w:r>
    </w:p>
    <w:p w14:paraId="41DF430A" w14:textId="7A0A0BA1" w:rsidR="00AE6542" w:rsidRPr="00C15D0C" w:rsidRDefault="004E3B48" w:rsidP="004B2637">
      <w:pPr>
        <w:pStyle w:val="NormalWeb"/>
        <w:shd w:val="clear" w:color="auto" w:fill="FFFFFF"/>
        <w:spacing w:before="40" w:beforeAutospacing="0" w:after="40" w:afterAutospacing="0" w:line="300" w:lineRule="auto"/>
        <w:ind w:firstLine="720"/>
        <w:jc w:val="both"/>
        <w:rPr>
          <w:noProof/>
          <w:sz w:val="28"/>
          <w:szCs w:val="28"/>
          <w:lang w:val="vi-VN"/>
        </w:rPr>
      </w:pPr>
      <w:r>
        <w:rPr>
          <w:noProof/>
          <w:sz w:val="28"/>
          <w:szCs w:val="28"/>
        </w:rPr>
        <w:t>3</w:t>
      </w:r>
      <w:r w:rsidR="00AE6542" w:rsidRPr="00C15D0C">
        <w:rPr>
          <w:noProof/>
          <w:sz w:val="28"/>
          <w:szCs w:val="28"/>
          <w:lang w:val="vi-VN"/>
        </w:rPr>
        <w:t>. Trong quá trình thực hiện, nếu các văn bản quy phạm pháp luật viện dẫn tại Nghị quyết này được sửa đổi, bổ sung hoặc thay thế thì thực hiện theo văn bản mới được sửa đổi, bổ sung hoặc thay thế đó.</w:t>
      </w:r>
    </w:p>
    <w:p w14:paraId="2B6A4551" w14:textId="77777777" w:rsidR="00816020" w:rsidRPr="00816020" w:rsidRDefault="00816020" w:rsidP="00816020">
      <w:pPr>
        <w:spacing w:before="40" w:after="40" w:line="300" w:lineRule="auto"/>
        <w:ind w:firstLine="720"/>
        <w:jc w:val="both"/>
        <w:rPr>
          <w:bCs/>
          <w:i/>
          <w:iCs/>
          <w:noProof/>
          <w:lang w:val="vi-VN"/>
        </w:rPr>
      </w:pPr>
      <w:r w:rsidRPr="00816020">
        <w:rPr>
          <w:bCs/>
          <w:i/>
          <w:iCs/>
          <w:noProof/>
          <w:lang w:val="vi-VN"/>
        </w:rPr>
        <w:t>Nghị quyết này đã được Hội đồng nhân dân tỉnh Phú Thọ khóa XIX, Kỳ họp thường lệ thứ Hai thông qua ngày 10 tháng 12 năm 2025 và có hiệu lực thi hành từ ngày 01 tháng 01 năm 2026./.</w:t>
      </w:r>
    </w:p>
    <w:p w14:paraId="191D3157" w14:textId="77777777" w:rsidR="00150F03" w:rsidRPr="00C15D0C" w:rsidRDefault="00150F03" w:rsidP="00A85E8E">
      <w:pPr>
        <w:spacing w:after="0" w:line="23" w:lineRule="atLeast"/>
        <w:ind w:firstLine="720"/>
        <w:jc w:val="both"/>
        <w:rPr>
          <w:i/>
          <w:noProof/>
          <w:lang w:val="vi-VN"/>
        </w:rPr>
      </w:pPr>
    </w:p>
    <w:tbl>
      <w:tblPr>
        <w:tblStyle w:val="TableGrid"/>
        <w:tblW w:w="9062" w:type="dxa"/>
        <w:tblLook w:val="04A0" w:firstRow="1" w:lastRow="0" w:firstColumn="1" w:lastColumn="0" w:noHBand="0" w:noVBand="1"/>
      </w:tblPr>
      <w:tblGrid>
        <w:gridCol w:w="4531"/>
        <w:gridCol w:w="4531"/>
      </w:tblGrid>
      <w:tr w:rsidR="00A85E8E" w14:paraId="316E4338" w14:textId="77777777" w:rsidTr="00A85E8E">
        <w:tc>
          <w:tcPr>
            <w:tcW w:w="4531" w:type="dxa"/>
            <w:tcBorders>
              <w:top w:val="nil"/>
              <w:left w:val="nil"/>
              <w:bottom w:val="nil"/>
              <w:right w:val="nil"/>
            </w:tcBorders>
          </w:tcPr>
          <w:bookmarkEnd w:id="1"/>
          <w:p w14:paraId="0FFA9878" w14:textId="77777777" w:rsidR="00A85E8E" w:rsidRPr="00AE6542" w:rsidRDefault="00A85E8E" w:rsidP="00150F03">
            <w:pPr>
              <w:shd w:val="clear" w:color="auto" w:fill="FFFFFF"/>
              <w:spacing w:line="23" w:lineRule="atLeast"/>
              <w:rPr>
                <w:b/>
                <w:bCs/>
                <w:i/>
                <w:iCs/>
                <w:noProof/>
                <w:sz w:val="24"/>
                <w:szCs w:val="24"/>
                <w:lang w:val="vi-VN"/>
              </w:rPr>
            </w:pPr>
            <w:r w:rsidRPr="00AE6542">
              <w:rPr>
                <w:b/>
                <w:bCs/>
                <w:i/>
                <w:iCs/>
                <w:noProof/>
                <w:sz w:val="24"/>
                <w:szCs w:val="24"/>
                <w:lang w:val="vi-VN"/>
              </w:rPr>
              <w:t>Nơi nhận:</w:t>
            </w:r>
          </w:p>
          <w:p w14:paraId="1BB80079"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UBTVQH, Chính phủ;</w:t>
            </w:r>
          </w:p>
          <w:p w14:paraId="7CF6E35E"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VPQH, VPCP;</w:t>
            </w:r>
          </w:p>
          <w:p w14:paraId="267D7CF1"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Bộ</w:t>
            </w:r>
            <w:r w:rsidR="007B2643">
              <w:rPr>
                <w:noProof/>
                <w:sz w:val="22"/>
                <w:szCs w:val="22"/>
                <w:lang w:val="vi-VN"/>
              </w:rPr>
              <w:t xml:space="preserve"> Công T</w:t>
            </w:r>
            <w:r w:rsidRPr="00AE6542">
              <w:rPr>
                <w:noProof/>
                <w:sz w:val="22"/>
                <w:szCs w:val="22"/>
                <w:lang w:val="vi-VN"/>
              </w:rPr>
              <w:t>hương;</w:t>
            </w:r>
          </w:p>
          <w:p w14:paraId="372F03B1"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Cục KTVB và QLXLVPHC (Bộ Tư pháp);</w:t>
            </w:r>
          </w:p>
          <w:p w14:paraId="21AD647C"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TTTU, TTHĐND, UBND, UBMTTQ tỉnh;</w:t>
            </w:r>
          </w:p>
          <w:p w14:paraId="13F4B1F5"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Đoàn ĐBQH tỉnh;</w:t>
            </w:r>
          </w:p>
          <w:p w14:paraId="2D5BAD5E"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Các Ban của HĐND tỉnh;</w:t>
            </w:r>
          </w:p>
          <w:p w14:paraId="3116ACD1"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Các đại biểu HĐND tỉnh;</w:t>
            </w:r>
          </w:p>
          <w:p w14:paraId="4DF09435"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Các sở, ban, ngành, đoàn thể cấp tỉnh;</w:t>
            </w:r>
          </w:p>
          <w:p w14:paraId="21729DA2"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Văn phòng Đoàn ĐBQH và HĐND tỉnh;</w:t>
            </w:r>
          </w:p>
          <w:p w14:paraId="4516044D"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ĐU, TTHĐND, UBND các xã, phường;</w:t>
            </w:r>
          </w:p>
          <w:p w14:paraId="78AFDD81" w14:textId="77777777" w:rsidR="00A85E8E" w:rsidRPr="00AE6542" w:rsidRDefault="00A85E8E" w:rsidP="00150F03">
            <w:pPr>
              <w:spacing w:line="23" w:lineRule="atLeast"/>
              <w:jc w:val="both"/>
              <w:rPr>
                <w:noProof/>
                <w:sz w:val="22"/>
                <w:szCs w:val="22"/>
                <w:lang w:val="vi-VN"/>
              </w:rPr>
            </w:pPr>
            <w:r w:rsidRPr="00AE6542">
              <w:rPr>
                <w:noProof/>
                <w:sz w:val="22"/>
                <w:szCs w:val="22"/>
                <w:lang w:val="vi-VN"/>
              </w:rPr>
              <w:t>- Trung tâm Thông tin - Công báo;</w:t>
            </w:r>
          </w:p>
          <w:p w14:paraId="0DD18E69" w14:textId="77777777" w:rsidR="00A85E8E" w:rsidRPr="0080627F" w:rsidRDefault="00D46688" w:rsidP="00150F03">
            <w:pPr>
              <w:widowControl w:val="0"/>
              <w:spacing w:line="23" w:lineRule="atLeast"/>
              <w:rPr>
                <w:rFonts w:ascii="imes New Roman" w:hAnsi="imes New Roman"/>
                <w:b/>
                <w:i/>
                <w:iCs/>
                <w:noProof/>
              </w:rPr>
            </w:pPr>
            <w:r>
              <w:rPr>
                <w:noProof/>
                <w:sz w:val="22"/>
                <w:szCs w:val="22"/>
                <w:lang w:val="vi-VN"/>
              </w:rPr>
              <w:t xml:space="preserve">- Lưu: </w:t>
            </w:r>
            <w:r w:rsidR="00A85E8E" w:rsidRPr="00AE6542">
              <w:rPr>
                <w:noProof/>
                <w:sz w:val="22"/>
                <w:szCs w:val="22"/>
                <w:lang w:val="vi-VN"/>
              </w:rPr>
              <w:t>VT, HC</w:t>
            </w:r>
            <w:r w:rsidR="00A85E8E" w:rsidRPr="00AE6542">
              <w:rPr>
                <w:noProof/>
                <w:sz w:val="22"/>
                <w:szCs w:val="22"/>
                <w:vertAlign w:val="superscript"/>
                <w:lang w:val="vi-VN"/>
              </w:rPr>
              <w:t>2</w:t>
            </w:r>
            <w:r w:rsidR="0080627F">
              <w:rPr>
                <w:noProof/>
                <w:sz w:val="22"/>
                <w:szCs w:val="22"/>
                <w:lang w:val="vi-VN"/>
              </w:rPr>
              <w:t xml:space="preserve">, </w:t>
            </w:r>
            <w:r w:rsidR="00A85E8E" w:rsidRPr="00AE6542">
              <w:rPr>
                <w:noProof/>
                <w:sz w:val="22"/>
                <w:szCs w:val="22"/>
                <w:lang w:val="vi-VN"/>
              </w:rPr>
              <w:t>HĐ</w:t>
            </w:r>
            <w:r w:rsidR="00A85E8E" w:rsidRPr="00AE6542">
              <w:rPr>
                <w:noProof/>
                <w:sz w:val="22"/>
                <w:szCs w:val="22"/>
                <w:vertAlign w:val="superscript"/>
                <w:lang w:val="vi-VN"/>
              </w:rPr>
              <w:t>2</w:t>
            </w:r>
            <w:r w:rsidR="0080627F">
              <w:rPr>
                <w:noProof/>
                <w:sz w:val="22"/>
                <w:szCs w:val="22"/>
              </w:rPr>
              <w:t>.</w:t>
            </w:r>
          </w:p>
        </w:tc>
        <w:tc>
          <w:tcPr>
            <w:tcW w:w="4531" w:type="dxa"/>
            <w:tcBorders>
              <w:top w:val="nil"/>
              <w:left w:val="nil"/>
              <w:bottom w:val="nil"/>
              <w:right w:val="nil"/>
            </w:tcBorders>
          </w:tcPr>
          <w:p w14:paraId="2D5481D1" w14:textId="278DBD85" w:rsidR="00A85E8E" w:rsidRPr="00150F03" w:rsidRDefault="00A85E8E" w:rsidP="00150F03">
            <w:pPr>
              <w:shd w:val="clear" w:color="auto" w:fill="FFFFFF"/>
              <w:spacing w:line="23" w:lineRule="atLeast"/>
              <w:jc w:val="center"/>
              <w:rPr>
                <w:b/>
                <w:bCs/>
                <w:noProof/>
                <w:lang w:val="vi-VN"/>
              </w:rPr>
            </w:pPr>
            <w:r w:rsidRPr="00150F03">
              <w:rPr>
                <w:b/>
                <w:bCs/>
                <w:noProof/>
                <w:lang w:val="vi-VN"/>
              </w:rPr>
              <w:t>CHỦ TỊCH</w:t>
            </w:r>
            <w:r w:rsidRPr="00150F03">
              <w:rPr>
                <w:b/>
                <w:bCs/>
                <w:noProof/>
                <w:lang w:val="vi-VN"/>
              </w:rPr>
              <w:br/>
            </w:r>
            <w:r w:rsidRPr="00150F03">
              <w:rPr>
                <w:b/>
                <w:bCs/>
                <w:noProof/>
                <w:lang w:val="vi-VN"/>
              </w:rPr>
              <w:br/>
            </w:r>
          </w:p>
          <w:p w14:paraId="1E04F356" w14:textId="77777777" w:rsidR="00A85E8E" w:rsidRDefault="00A85E8E" w:rsidP="00150F03">
            <w:pPr>
              <w:shd w:val="clear" w:color="auto" w:fill="FFFFFF"/>
              <w:spacing w:line="23" w:lineRule="atLeast"/>
              <w:jc w:val="center"/>
              <w:rPr>
                <w:b/>
                <w:bCs/>
                <w:noProof/>
                <w:lang w:val="vi-VN"/>
              </w:rPr>
            </w:pPr>
          </w:p>
          <w:p w14:paraId="3EF7FDDD" w14:textId="77777777" w:rsidR="00150F03" w:rsidRDefault="00150F03" w:rsidP="00150F03">
            <w:pPr>
              <w:shd w:val="clear" w:color="auto" w:fill="FFFFFF"/>
              <w:spacing w:line="23" w:lineRule="atLeast"/>
              <w:jc w:val="center"/>
              <w:rPr>
                <w:b/>
                <w:bCs/>
                <w:noProof/>
                <w:lang w:val="vi-VN"/>
              </w:rPr>
            </w:pPr>
          </w:p>
          <w:p w14:paraId="4AD2D609" w14:textId="77777777" w:rsidR="00150F03" w:rsidRPr="00150F03" w:rsidRDefault="00150F03" w:rsidP="00150F03">
            <w:pPr>
              <w:shd w:val="clear" w:color="auto" w:fill="FFFFFF"/>
              <w:spacing w:line="23" w:lineRule="atLeast"/>
              <w:jc w:val="center"/>
              <w:rPr>
                <w:b/>
                <w:bCs/>
                <w:noProof/>
                <w:lang w:val="vi-VN"/>
              </w:rPr>
            </w:pPr>
          </w:p>
          <w:p w14:paraId="1569ED71" w14:textId="77777777" w:rsidR="00A85E8E" w:rsidRPr="00150F03" w:rsidRDefault="00A85E8E" w:rsidP="00150F03">
            <w:pPr>
              <w:shd w:val="clear" w:color="auto" w:fill="FFFFFF"/>
              <w:spacing w:line="23" w:lineRule="atLeast"/>
              <w:jc w:val="center"/>
              <w:rPr>
                <w:noProof/>
                <w:lang w:val="vi-VN"/>
              </w:rPr>
            </w:pPr>
          </w:p>
          <w:p w14:paraId="1BC6B72F" w14:textId="77777777" w:rsidR="00A85E8E" w:rsidRPr="00AE6542" w:rsidRDefault="00A85E8E" w:rsidP="00150F03">
            <w:pPr>
              <w:widowControl w:val="0"/>
              <w:spacing w:line="23" w:lineRule="atLeast"/>
              <w:jc w:val="center"/>
              <w:rPr>
                <w:rFonts w:ascii="imes New Roman" w:hAnsi="imes New Roman"/>
                <w:b/>
                <w:bCs/>
                <w:noProof/>
                <w:lang w:val="vi-VN"/>
              </w:rPr>
            </w:pPr>
            <w:r w:rsidRPr="00150F03">
              <w:rPr>
                <w:b/>
                <w:noProof/>
                <w:lang w:val="vi-VN"/>
              </w:rPr>
              <w:t>Bùi Đức Hinh</w:t>
            </w:r>
          </w:p>
        </w:tc>
      </w:tr>
    </w:tbl>
    <w:p w14:paraId="6E157735" w14:textId="77777777" w:rsidR="003F6D4C" w:rsidRPr="00AE6542" w:rsidRDefault="003F6D4C" w:rsidP="00A85E8E">
      <w:pPr>
        <w:pStyle w:val="NormalWeb"/>
        <w:shd w:val="clear" w:color="auto" w:fill="FFFFFF"/>
        <w:spacing w:before="60" w:beforeAutospacing="0" w:after="60" w:afterAutospacing="0" w:line="23" w:lineRule="atLeast"/>
        <w:jc w:val="both"/>
        <w:rPr>
          <w:rFonts w:eastAsia="Calibri"/>
          <w:noProof/>
          <w:sz w:val="28"/>
          <w:szCs w:val="28"/>
          <w:lang w:val="vi-VN"/>
        </w:rPr>
      </w:pPr>
    </w:p>
    <w:sectPr w:rsidR="003F6D4C" w:rsidRPr="00AE6542" w:rsidSect="004B2637">
      <w:headerReference w:type="default" r:id="rId7"/>
      <w:pgSz w:w="11907" w:h="16840" w:code="9"/>
      <w:pgMar w:top="1191" w:right="1191" w:bottom="119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5AAB9" w14:textId="77777777" w:rsidR="00994542" w:rsidRDefault="00994542">
      <w:pPr>
        <w:spacing w:after="0" w:line="240" w:lineRule="auto"/>
      </w:pPr>
      <w:r>
        <w:separator/>
      </w:r>
    </w:p>
  </w:endnote>
  <w:endnote w:type="continuationSeparator" w:id="0">
    <w:p w14:paraId="26C6FF8D" w14:textId="77777777" w:rsidR="00994542" w:rsidRDefault="0099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2F5A" w14:textId="77777777" w:rsidR="00994542" w:rsidRDefault="00994542">
      <w:pPr>
        <w:spacing w:after="0" w:line="240" w:lineRule="auto"/>
      </w:pPr>
      <w:r>
        <w:separator/>
      </w:r>
    </w:p>
  </w:footnote>
  <w:footnote w:type="continuationSeparator" w:id="0">
    <w:p w14:paraId="0DBD984F" w14:textId="77777777" w:rsidR="00994542" w:rsidRDefault="00994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838088"/>
      <w:docPartObj>
        <w:docPartGallery w:val="Page Numbers (Top of Page)"/>
        <w:docPartUnique/>
      </w:docPartObj>
    </w:sdtPr>
    <w:sdtEndPr>
      <w:rPr>
        <w:noProof/>
        <w:sz w:val="26"/>
        <w:szCs w:val="26"/>
      </w:rPr>
    </w:sdtEndPr>
    <w:sdtContent>
      <w:p w14:paraId="4427A9BC" w14:textId="3BDE059B" w:rsidR="003F6D4C" w:rsidRPr="008F5A1D" w:rsidRDefault="00124EB3">
        <w:pPr>
          <w:pStyle w:val="Header"/>
          <w:jc w:val="center"/>
          <w:rPr>
            <w:sz w:val="26"/>
            <w:szCs w:val="26"/>
          </w:rPr>
        </w:pPr>
        <w:r w:rsidRPr="008F5A1D">
          <w:rPr>
            <w:sz w:val="26"/>
            <w:szCs w:val="26"/>
          </w:rPr>
          <w:fldChar w:fldCharType="begin"/>
        </w:r>
        <w:r w:rsidRPr="008F5A1D">
          <w:rPr>
            <w:sz w:val="26"/>
            <w:szCs w:val="26"/>
          </w:rPr>
          <w:instrText xml:space="preserve"> PAGE   \* MERGEFORMAT </w:instrText>
        </w:r>
        <w:r w:rsidRPr="008F5A1D">
          <w:rPr>
            <w:sz w:val="26"/>
            <w:szCs w:val="26"/>
          </w:rPr>
          <w:fldChar w:fldCharType="separate"/>
        </w:r>
        <w:r w:rsidR="00B43D34">
          <w:rPr>
            <w:noProof/>
            <w:sz w:val="26"/>
            <w:szCs w:val="26"/>
          </w:rPr>
          <w:t>2</w:t>
        </w:r>
        <w:r w:rsidRPr="008F5A1D">
          <w:rPr>
            <w:noProof/>
            <w:sz w:val="26"/>
            <w:szCs w:val="26"/>
          </w:rPr>
          <w:fldChar w:fldCharType="end"/>
        </w:r>
      </w:p>
    </w:sdtContent>
  </w:sdt>
  <w:p w14:paraId="40A75C4D" w14:textId="77777777" w:rsidR="003F6D4C" w:rsidRDefault="003F6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4C"/>
    <w:rsid w:val="000311DF"/>
    <w:rsid w:val="00035F4C"/>
    <w:rsid w:val="00060FA5"/>
    <w:rsid w:val="00071B75"/>
    <w:rsid w:val="00085BC9"/>
    <w:rsid w:val="000A29C7"/>
    <w:rsid w:val="00124EB3"/>
    <w:rsid w:val="00150F03"/>
    <w:rsid w:val="001C654D"/>
    <w:rsid w:val="001E63EA"/>
    <w:rsid w:val="00214BC2"/>
    <w:rsid w:val="00245C83"/>
    <w:rsid w:val="00297B35"/>
    <w:rsid w:val="002E0286"/>
    <w:rsid w:val="003A76F4"/>
    <w:rsid w:val="003B3D1F"/>
    <w:rsid w:val="003D2EB4"/>
    <w:rsid w:val="003F0274"/>
    <w:rsid w:val="003F6D4C"/>
    <w:rsid w:val="00440528"/>
    <w:rsid w:val="00457D44"/>
    <w:rsid w:val="004B2637"/>
    <w:rsid w:val="004E3B48"/>
    <w:rsid w:val="00510CBF"/>
    <w:rsid w:val="00571517"/>
    <w:rsid w:val="005A5E3D"/>
    <w:rsid w:val="00625023"/>
    <w:rsid w:val="00650550"/>
    <w:rsid w:val="00684FCC"/>
    <w:rsid w:val="006A5B59"/>
    <w:rsid w:val="006C019D"/>
    <w:rsid w:val="00795461"/>
    <w:rsid w:val="007B2643"/>
    <w:rsid w:val="007C6FC7"/>
    <w:rsid w:val="0080627F"/>
    <w:rsid w:val="00816020"/>
    <w:rsid w:val="008C28B5"/>
    <w:rsid w:val="008E0D50"/>
    <w:rsid w:val="008F5A1D"/>
    <w:rsid w:val="009339D0"/>
    <w:rsid w:val="00953D10"/>
    <w:rsid w:val="00994542"/>
    <w:rsid w:val="009D0A94"/>
    <w:rsid w:val="00A85E8E"/>
    <w:rsid w:val="00AA358D"/>
    <w:rsid w:val="00AD3503"/>
    <w:rsid w:val="00AE6542"/>
    <w:rsid w:val="00B43D34"/>
    <w:rsid w:val="00B53347"/>
    <w:rsid w:val="00B56490"/>
    <w:rsid w:val="00B84B47"/>
    <w:rsid w:val="00B90DF6"/>
    <w:rsid w:val="00BC61EA"/>
    <w:rsid w:val="00C15D0C"/>
    <w:rsid w:val="00C17C60"/>
    <w:rsid w:val="00C81CA4"/>
    <w:rsid w:val="00D11AFF"/>
    <w:rsid w:val="00D46688"/>
    <w:rsid w:val="00DA58B7"/>
    <w:rsid w:val="00E43AD9"/>
    <w:rsid w:val="00E452F9"/>
    <w:rsid w:val="00EB4D4E"/>
    <w:rsid w:val="00EF3DC8"/>
    <w:rsid w:val="00F91C2F"/>
    <w:rsid w:val="00FB6723"/>
    <w:rsid w:val="00FF7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A2814"/>
  <w15:docId w15:val="{D03A1348-8CF1-485A-9CFC-194AD2F5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spacing w:after="0" w:line="240" w:lineRule="auto"/>
    </w:pPr>
    <w:rPr>
      <w:color w:val="000000"/>
      <w:sz w:val="22"/>
    </w:rPr>
  </w:style>
  <w:style w:type="paragraph" w:styleId="Footer">
    <w:name w:val="footer"/>
    <w:basedOn w:val="Normal"/>
    <w:uiPriority w:val="99"/>
    <w:unhideWhenUsed/>
    <w:pPr>
      <w:tabs>
        <w:tab w:val="center" w:pos="7143"/>
        <w:tab w:val="right" w:pos="14287"/>
      </w:tabs>
      <w:spacing w:after="0" w:line="240" w:lineRule="auto"/>
    </w:pPr>
    <w:rPr>
      <w:color w:val="000000"/>
      <w:sz w:val="22"/>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ng-binding">
    <w:name w:val="ng-binding"/>
    <w:basedOn w:val="DefaultParagraphFont"/>
  </w:style>
  <w:style w:type="character" w:styleId="Emphasis">
    <w:name w:val="Emphasis"/>
    <w:basedOn w:val="DefaultParagraphFont"/>
    <w:uiPriority w:val="20"/>
    <w:qFormat/>
    <w:rPr>
      <w:i/>
      <w:iCs/>
    </w:rPr>
  </w:style>
  <w:style w:type="paragraph" w:styleId="NormalWeb">
    <w:name w:val="Normal (Web)"/>
    <w:aliases w:val="Normal (Web) Char,Char Char Char Char Char Char Char Char Char Char,Char Char Char Char Char Char Char Char Char Char Char,Char Char25,표준 (웹),Char Char Char,Char Char5,webb,Обычный (веб)1,Обычный (веб) Знак,Char Char,Char Char1, Char Char25"/>
    <w:basedOn w:val="Normal"/>
    <w:link w:val="NormalWebChar1"/>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sz w:val="24"/>
      <w:szCs w:val="24"/>
    </w:rPr>
  </w:style>
  <w:style w:type="character" w:customStyle="1" w:styleId="vjs-control-text">
    <w:name w:val="vjs-control-text"/>
    <w:basedOn w:val="DefaultParagraphFont"/>
  </w:style>
  <w:style w:type="character" w:customStyle="1" w:styleId="vjs-current-time-display">
    <w:name w:val="vjs-current-time-display"/>
    <w:basedOn w:val="DefaultParagraphFont"/>
  </w:style>
  <w:style w:type="character" w:customStyle="1" w:styleId="vjs-duration-display">
    <w:name w:val="vjs-duration-display"/>
    <w:basedOn w:val="DefaultParagraphFont"/>
  </w:style>
  <w:style w:type="character" w:customStyle="1" w:styleId="vjs-control-text-loaded-percentage">
    <w:name w:val="vjs-control-text-loaded-percentage"/>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fyystc">
    <w:name w:val="fyyst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abel--pressed">
    <w:name w:val="label--pressed"/>
    <w:basedOn w:val="DefaultParagraphFont"/>
  </w:style>
  <w:style w:type="character" w:customStyle="1" w:styleId="plyrtooltip">
    <w:name w:val="plyr__tooltip"/>
    <w:basedOn w:val="DefaultParagraphFont"/>
  </w:style>
  <w:style w:type="character" w:customStyle="1" w:styleId="label--not-pressed">
    <w:name w:val="label--not-pressed"/>
    <w:basedOn w:val="DefaultParagraphFont"/>
  </w:style>
  <w:style w:type="character" w:customStyle="1" w:styleId="NormalWebChar1">
    <w:name w:val="Normal (Web) Char1"/>
    <w:aliases w:val="Normal (Web) Char Char,Char Char Char Char Char Char Char Char Char Char Char1,Char Char Char Char Char Char Char Char Char Char Char Char,Char Char25 Char,표준 (웹) Char,Char Char Char Char,Char Char5 Char,webb Char,Обычный (веб)1 Char"/>
    <w:link w:val="NormalWeb"/>
    <w:qFormat/>
    <w:locked/>
    <w:rPr>
      <w:rFonts w:eastAsia="Times New Roman"/>
      <w:sz w:val="24"/>
      <w:szCs w:val="24"/>
    </w:rPr>
  </w:style>
  <w:style w:type="character" w:customStyle="1" w:styleId="HeaderChar">
    <w:name w:val="Header Char"/>
    <w:basedOn w:val="DefaultParagraphFont"/>
    <w:link w:val="Header"/>
    <w:uiPriority w:val="9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3116">
      <w:bodyDiv w:val="1"/>
      <w:marLeft w:val="0"/>
      <w:marRight w:val="0"/>
      <w:marTop w:val="0"/>
      <w:marBottom w:val="0"/>
      <w:divBdr>
        <w:top w:val="none" w:sz="0" w:space="0" w:color="auto"/>
        <w:left w:val="none" w:sz="0" w:space="0" w:color="auto"/>
        <w:bottom w:val="none" w:sz="0" w:space="0" w:color="auto"/>
        <w:right w:val="none" w:sz="0" w:space="0" w:color="auto"/>
      </w:divBdr>
    </w:div>
    <w:div w:id="300501499">
      <w:bodyDiv w:val="1"/>
      <w:marLeft w:val="0"/>
      <w:marRight w:val="0"/>
      <w:marTop w:val="0"/>
      <w:marBottom w:val="0"/>
      <w:divBdr>
        <w:top w:val="none" w:sz="0" w:space="0" w:color="auto"/>
        <w:left w:val="none" w:sz="0" w:space="0" w:color="auto"/>
        <w:bottom w:val="none" w:sz="0" w:space="0" w:color="auto"/>
        <w:right w:val="none" w:sz="0" w:space="0" w:color="auto"/>
      </w:divBdr>
    </w:div>
    <w:div w:id="392122081">
      <w:bodyDiv w:val="1"/>
      <w:marLeft w:val="0"/>
      <w:marRight w:val="0"/>
      <w:marTop w:val="0"/>
      <w:marBottom w:val="0"/>
      <w:divBdr>
        <w:top w:val="none" w:sz="0" w:space="0" w:color="auto"/>
        <w:left w:val="none" w:sz="0" w:space="0" w:color="auto"/>
        <w:bottom w:val="none" w:sz="0" w:space="0" w:color="auto"/>
        <w:right w:val="none" w:sz="0" w:space="0" w:color="auto"/>
      </w:divBdr>
      <w:divsChild>
        <w:div w:id="1439913837">
          <w:marLeft w:val="0"/>
          <w:marRight w:val="0"/>
          <w:marTop w:val="100"/>
          <w:marBottom w:val="100"/>
          <w:divBdr>
            <w:top w:val="none" w:sz="0" w:space="0" w:color="auto"/>
            <w:left w:val="none" w:sz="0" w:space="0" w:color="auto"/>
            <w:bottom w:val="none" w:sz="0" w:space="0" w:color="auto"/>
            <w:right w:val="none" w:sz="0" w:space="0" w:color="auto"/>
          </w:divBdr>
          <w:divsChild>
            <w:div w:id="84426495">
              <w:marLeft w:val="0"/>
              <w:marRight w:val="0"/>
              <w:marTop w:val="0"/>
              <w:marBottom w:val="0"/>
              <w:divBdr>
                <w:top w:val="none" w:sz="0" w:space="0" w:color="auto"/>
                <w:left w:val="none" w:sz="0" w:space="0" w:color="auto"/>
                <w:bottom w:val="none" w:sz="0" w:space="0" w:color="auto"/>
                <w:right w:val="none" w:sz="0" w:space="0" w:color="auto"/>
              </w:divBdr>
              <w:divsChild>
                <w:div w:id="454060817">
                  <w:marLeft w:val="0"/>
                  <w:marRight w:val="0"/>
                  <w:marTop w:val="0"/>
                  <w:marBottom w:val="0"/>
                  <w:divBdr>
                    <w:top w:val="none" w:sz="0" w:space="0" w:color="auto"/>
                    <w:left w:val="none" w:sz="0" w:space="0" w:color="auto"/>
                    <w:bottom w:val="none" w:sz="0" w:space="0" w:color="auto"/>
                    <w:right w:val="none" w:sz="0" w:space="0" w:color="auto"/>
                  </w:divBdr>
                  <w:divsChild>
                    <w:div w:id="1041593967">
                      <w:marLeft w:val="0"/>
                      <w:marRight w:val="0"/>
                      <w:marTop w:val="0"/>
                      <w:marBottom w:val="0"/>
                      <w:divBdr>
                        <w:top w:val="none" w:sz="0" w:space="0" w:color="auto"/>
                        <w:left w:val="none" w:sz="0" w:space="0" w:color="auto"/>
                        <w:bottom w:val="none" w:sz="0" w:space="0" w:color="auto"/>
                        <w:right w:val="none" w:sz="0" w:space="0" w:color="auto"/>
                      </w:divBdr>
                      <w:divsChild>
                        <w:div w:id="434711240">
                          <w:marLeft w:val="0"/>
                          <w:marRight w:val="0"/>
                          <w:marTop w:val="15"/>
                          <w:marBottom w:val="0"/>
                          <w:divBdr>
                            <w:top w:val="none" w:sz="0" w:space="0" w:color="auto"/>
                            <w:left w:val="none" w:sz="0" w:space="0" w:color="auto"/>
                            <w:bottom w:val="none" w:sz="0" w:space="0" w:color="auto"/>
                            <w:right w:val="none" w:sz="0" w:space="0" w:color="auto"/>
                          </w:divBdr>
                        </w:div>
                        <w:div w:id="976490243">
                          <w:marLeft w:val="0"/>
                          <w:marRight w:val="0"/>
                          <w:marTop w:val="15"/>
                          <w:marBottom w:val="0"/>
                          <w:divBdr>
                            <w:top w:val="none" w:sz="0" w:space="0" w:color="auto"/>
                            <w:left w:val="none" w:sz="0" w:space="0" w:color="auto"/>
                            <w:bottom w:val="none" w:sz="0" w:space="0" w:color="auto"/>
                            <w:right w:val="none" w:sz="0" w:space="0" w:color="auto"/>
                          </w:divBdr>
                        </w:div>
                        <w:div w:id="1683505612">
                          <w:marLeft w:val="0"/>
                          <w:marRight w:val="0"/>
                          <w:marTop w:val="0"/>
                          <w:marBottom w:val="0"/>
                          <w:divBdr>
                            <w:top w:val="none" w:sz="0" w:space="0" w:color="auto"/>
                            <w:left w:val="none" w:sz="0" w:space="0" w:color="auto"/>
                            <w:bottom w:val="none" w:sz="0" w:space="0" w:color="auto"/>
                            <w:right w:val="none" w:sz="0" w:space="0" w:color="auto"/>
                          </w:divBdr>
                          <w:divsChild>
                            <w:div w:id="1313026564">
                              <w:marLeft w:val="0"/>
                              <w:marRight w:val="0"/>
                              <w:marTop w:val="0"/>
                              <w:marBottom w:val="0"/>
                              <w:divBdr>
                                <w:top w:val="none" w:sz="0" w:space="0" w:color="auto"/>
                                <w:left w:val="none" w:sz="0" w:space="0" w:color="auto"/>
                                <w:bottom w:val="none" w:sz="0" w:space="0" w:color="auto"/>
                                <w:right w:val="none" w:sz="0" w:space="0" w:color="auto"/>
                              </w:divBdr>
                            </w:div>
                          </w:divsChild>
                        </w:div>
                        <w:div w:id="18477885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53393">
      <w:bodyDiv w:val="1"/>
      <w:marLeft w:val="0"/>
      <w:marRight w:val="0"/>
      <w:marTop w:val="0"/>
      <w:marBottom w:val="0"/>
      <w:divBdr>
        <w:top w:val="none" w:sz="0" w:space="0" w:color="auto"/>
        <w:left w:val="none" w:sz="0" w:space="0" w:color="auto"/>
        <w:bottom w:val="none" w:sz="0" w:space="0" w:color="auto"/>
        <w:right w:val="none" w:sz="0" w:space="0" w:color="auto"/>
      </w:divBdr>
    </w:div>
    <w:div w:id="573012688">
      <w:bodyDiv w:val="1"/>
      <w:marLeft w:val="0"/>
      <w:marRight w:val="0"/>
      <w:marTop w:val="0"/>
      <w:marBottom w:val="0"/>
      <w:divBdr>
        <w:top w:val="none" w:sz="0" w:space="0" w:color="auto"/>
        <w:left w:val="none" w:sz="0" w:space="0" w:color="auto"/>
        <w:bottom w:val="none" w:sz="0" w:space="0" w:color="auto"/>
        <w:right w:val="none" w:sz="0" w:space="0" w:color="auto"/>
      </w:divBdr>
    </w:div>
    <w:div w:id="848449876">
      <w:bodyDiv w:val="1"/>
      <w:marLeft w:val="0"/>
      <w:marRight w:val="0"/>
      <w:marTop w:val="0"/>
      <w:marBottom w:val="0"/>
      <w:divBdr>
        <w:top w:val="none" w:sz="0" w:space="0" w:color="auto"/>
        <w:left w:val="none" w:sz="0" w:space="0" w:color="auto"/>
        <w:bottom w:val="none" w:sz="0" w:space="0" w:color="auto"/>
        <w:right w:val="none" w:sz="0" w:space="0" w:color="auto"/>
      </w:divBdr>
    </w:div>
    <w:div w:id="875891137">
      <w:bodyDiv w:val="1"/>
      <w:marLeft w:val="0"/>
      <w:marRight w:val="0"/>
      <w:marTop w:val="0"/>
      <w:marBottom w:val="0"/>
      <w:divBdr>
        <w:top w:val="none" w:sz="0" w:space="0" w:color="auto"/>
        <w:left w:val="none" w:sz="0" w:space="0" w:color="auto"/>
        <w:bottom w:val="none" w:sz="0" w:space="0" w:color="auto"/>
        <w:right w:val="none" w:sz="0" w:space="0" w:color="auto"/>
      </w:divBdr>
      <w:divsChild>
        <w:div w:id="1523669466">
          <w:marLeft w:val="0"/>
          <w:marRight w:val="0"/>
          <w:marTop w:val="0"/>
          <w:marBottom w:val="0"/>
          <w:divBdr>
            <w:top w:val="none" w:sz="0" w:space="0" w:color="auto"/>
            <w:left w:val="none" w:sz="0" w:space="0" w:color="auto"/>
            <w:bottom w:val="none" w:sz="0" w:space="0" w:color="auto"/>
            <w:right w:val="none" w:sz="0" w:space="0" w:color="auto"/>
          </w:divBdr>
          <w:divsChild>
            <w:div w:id="497575996">
              <w:marLeft w:val="0"/>
              <w:marRight w:val="0"/>
              <w:marTop w:val="0"/>
              <w:marBottom w:val="0"/>
              <w:divBdr>
                <w:top w:val="none" w:sz="0" w:space="0" w:color="auto"/>
                <w:left w:val="none" w:sz="0" w:space="0" w:color="auto"/>
                <w:bottom w:val="none" w:sz="0" w:space="0" w:color="auto"/>
                <w:right w:val="none" w:sz="0" w:space="0" w:color="auto"/>
              </w:divBdr>
              <w:divsChild>
                <w:div w:id="185219647">
                  <w:marLeft w:val="0"/>
                  <w:marRight w:val="0"/>
                  <w:marTop w:val="0"/>
                  <w:marBottom w:val="0"/>
                  <w:divBdr>
                    <w:top w:val="none" w:sz="0" w:space="0" w:color="auto"/>
                    <w:left w:val="none" w:sz="0" w:space="0" w:color="auto"/>
                    <w:bottom w:val="none" w:sz="0" w:space="0" w:color="auto"/>
                    <w:right w:val="none" w:sz="0" w:space="0" w:color="auto"/>
                  </w:divBdr>
                  <w:divsChild>
                    <w:div w:id="474763633">
                      <w:marLeft w:val="0"/>
                      <w:marRight w:val="0"/>
                      <w:marTop w:val="0"/>
                      <w:marBottom w:val="0"/>
                      <w:divBdr>
                        <w:top w:val="none" w:sz="0" w:space="0" w:color="auto"/>
                        <w:left w:val="none" w:sz="0" w:space="0" w:color="auto"/>
                        <w:bottom w:val="none" w:sz="0" w:space="0" w:color="auto"/>
                        <w:right w:val="none" w:sz="0" w:space="0" w:color="auto"/>
                      </w:divBdr>
                      <w:divsChild>
                        <w:div w:id="1650791149">
                          <w:marLeft w:val="0"/>
                          <w:marRight w:val="0"/>
                          <w:marTop w:val="0"/>
                          <w:marBottom w:val="0"/>
                          <w:divBdr>
                            <w:top w:val="none" w:sz="0" w:space="0" w:color="auto"/>
                            <w:left w:val="none" w:sz="0" w:space="0" w:color="auto"/>
                            <w:bottom w:val="none" w:sz="0" w:space="0" w:color="auto"/>
                            <w:right w:val="none" w:sz="0" w:space="0" w:color="auto"/>
                          </w:divBdr>
                          <w:divsChild>
                            <w:div w:id="126095737">
                              <w:marLeft w:val="0"/>
                              <w:marRight w:val="0"/>
                              <w:marTop w:val="100"/>
                              <w:marBottom w:val="100"/>
                              <w:divBdr>
                                <w:top w:val="none" w:sz="0" w:space="0" w:color="auto"/>
                                <w:left w:val="none" w:sz="0" w:space="0" w:color="auto"/>
                                <w:bottom w:val="none" w:sz="0" w:space="0" w:color="auto"/>
                                <w:right w:val="none" w:sz="0" w:space="0" w:color="auto"/>
                              </w:divBdr>
                              <w:divsChild>
                                <w:div w:id="1674990944">
                                  <w:marLeft w:val="0"/>
                                  <w:marRight w:val="0"/>
                                  <w:marTop w:val="0"/>
                                  <w:marBottom w:val="0"/>
                                  <w:divBdr>
                                    <w:top w:val="none" w:sz="0" w:space="0" w:color="auto"/>
                                    <w:left w:val="none" w:sz="0" w:space="0" w:color="auto"/>
                                    <w:bottom w:val="none" w:sz="0" w:space="0" w:color="auto"/>
                                    <w:right w:val="none" w:sz="0" w:space="0" w:color="auto"/>
                                  </w:divBdr>
                                  <w:divsChild>
                                    <w:div w:id="93942751">
                                      <w:marLeft w:val="0"/>
                                      <w:marRight w:val="0"/>
                                      <w:marTop w:val="0"/>
                                      <w:marBottom w:val="0"/>
                                      <w:divBdr>
                                        <w:top w:val="none" w:sz="0" w:space="0" w:color="auto"/>
                                        <w:left w:val="none" w:sz="0" w:space="0" w:color="auto"/>
                                        <w:bottom w:val="none" w:sz="0" w:space="0" w:color="auto"/>
                                        <w:right w:val="none" w:sz="0" w:space="0" w:color="auto"/>
                                      </w:divBdr>
                                    </w:div>
                                    <w:div w:id="1347290335">
                                      <w:marLeft w:val="0"/>
                                      <w:marRight w:val="0"/>
                                      <w:marTop w:val="0"/>
                                      <w:marBottom w:val="0"/>
                                      <w:divBdr>
                                        <w:top w:val="none" w:sz="0" w:space="0" w:color="auto"/>
                                        <w:left w:val="none" w:sz="0" w:space="0" w:color="auto"/>
                                        <w:bottom w:val="none" w:sz="0" w:space="0" w:color="auto"/>
                                        <w:right w:val="none" w:sz="0" w:space="0" w:color="auto"/>
                                      </w:divBdr>
                                    </w:div>
                                  </w:divsChild>
                                </w:div>
                                <w:div w:id="1935674402">
                                  <w:marLeft w:val="0"/>
                                  <w:marRight w:val="0"/>
                                  <w:marTop w:val="0"/>
                                  <w:marBottom w:val="0"/>
                                  <w:divBdr>
                                    <w:top w:val="none" w:sz="0" w:space="0" w:color="auto"/>
                                    <w:left w:val="none" w:sz="0" w:space="0" w:color="auto"/>
                                    <w:bottom w:val="none" w:sz="0" w:space="0" w:color="auto"/>
                                    <w:right w:val="none" w:sz="0" w:space="0" w:color="auto"/>
                                  </w:divBdr>
                                  <w:divsChild>
                                    <w:div w:id="2005282625">
                                      <w:marLeft w:val="0"/>
                                      <w:marRight w:val="0"/>
                                      <w:marTop w:val="0"/>
                                      <w:marBottom w:val="0"/>
                                      <w:divBdr>
                                        <w:top w:val="none" w:sz="0" w:space="0" w:color="auto"/>
                                        <w:left w:val="none" w:sz="0" w:space="0" w:color="auto"/>
                                        <w:bottom w:val="none" w:sz="0" w:space="0" w:color="auto"/>
                                        <w:right w:val="none" w:sz="0" w:space="0" w:color="auto"/>
                                      </w:divBdr>
                                      <w:divsChild>
                                        <w:div w:id="108744612">
                                          <w:marLeft w:val="0"/>
                                          <w:marRight w:val="0"/>
                                          <w:marTop w:val="0"/>
                                          <w:marBottom w:val="0"/>
                                          <w:divBdr>
                                            <w:top w:val="none" w:sz="0" w:space="0" w:color="auto"/>
                                            <w:left w:val="none" w:sz="0" w:space="0" w:color="auto"/>
                                            <w:bottom w:val="none" w:sz="0" w:space="0" w:color="auto"/>
                                            <w:right w:val="none" w:sz="0" w:space="0" w:color="auto"/>
                                          </w:divBdr>
                                        </w:div>
                                        <w:div w:id="788671183">
                                          <w:marLeft w:val="0"/>
                                          <w:marRight w:val="0"/>
                                          <w:marTop w:val="0"/>
                                          <w:marBottom w:val="0"/>
                                          <w:divBdr>
                                            <w:top w:val="none" w:sz="0" w:space="0" w:color="auto"/>
                                            <w:left w:val="none" w:sz="0" w:space="0" w:color="auto"/>
                                            <w:bottom w:val="none" w:sz="0" w:space="0" w:color="auto"/>
                                            <w:right w:val="none" w:sz="0" w:space="0" w:color="auto"/>
                                          </w:divBdr>
                                          <w:divsChild>
                                            <w:div w:id="1380478328">
                                              <w:marLeft w:val="0"/>
                                              <w:marRight w:val="0"/>
                                              <w:marTop w:val="0"/>
                                              <w:marBottom w:val="0"/>
                                              <w:divBdr>
                                                <w:top w:val="none" w:sz="0" w:space="0" w:color="auto"/>
                                                <w:left w:val="none" w:sz="0" w:space="0" w:color="auto"/>
                                                <w:bottom w:val="none" w:sz="0" w:space="0" w:color="auto"/>
                                                <w:right w:val="none" w:sz="0" w:space="0" w:color="auto"/>
                                              </w:divBdr>
                                            </w:div>
                                          </w:divsChild>
                                        </w:div>
                                        <w:div w:id="1428501378">
                                          <w:marLeft w:val="0"/>
                                          <w:marRight w:val="0"/>
                                          <w:marTop w:val="0"/>
                                          <w:marBottom w:val="0"/>
                                          <w:divBdr>
                                            <w:top w:val="none" w:sz="0" w:space="0" w:color="auto"/>
                                            <w:left w:val="none" w:sz="0" w:space="0" w:color="auto"/>
                                            <w:bottom w:val="none" w:sz="0" w:space="0" w:color="auto"/>
                                            <w:right w:val="none" w:sz="0" w:space="0" w:color="auto"/>
                                          </w:divBdr>
                                        </w:div>
                                        <w:div w:id="14321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321448">
                      <w:marLeft w:val="0"/>
                      <w:marRight w:val="0"/>
                      <w:marTop w:val="0"/>
                      <w:marBottom w:val="0"/>
                      <w:divBdr>
                        <w:top w:val="none" w:sz="0" w:space="0" w:color="auto"/>
                        <w:left w:val="none" w:sz="0" w:space="0" w:color="auto"/>
                        <w:bottom w:val="none" w:sz="0" w:space="0" w:color="auto"/>
                        <w:right w:val="none" w:sz="0" w:space="0" w:color="auto"/>
                      </w:divBdr>
                      <w:divsChild>
                        <w:div w:id="1953050673">
                          <w:marLeft w:val="0"/>
                          <w:marRight w:val="0"/>
                          <w:marTop w:val="0"/>
                          <w:marBottom w:val="0"/>
                          <w:divBdr>
                            <w:top w:val="none" w:sz="0" w:space="0" w:color="auto"/>
                            <w:left w:val="none" w:sz="0" w:space="0" w:color="auto"/>
                            <w:bottom w:val="none" w:sz="0" w:space="0" w:color="auto"/>
                            <w:right w:val="none" w:sz="0" w:space="0" w:color="auto"/>
                          </w:divBdr>
                          <w:divsChild>
                            <w:div w:id="1058212187">
                              <w:marLeft w:val="0"/>
                              <w:marRight w:val="0"/>
                              <w:marTop w:val="0"/>
                              <w:marBottom w:val="0"/>
                              <w:divBdr>
                                <w:top w:val="none" w:sz="0" w:space="0" w:color="auto"/>
                                <w:left w:val="none" w:sz="0" w:space="0" w:color="auto"/>
                                <w:bottom w:val="none" w:sz="0" w:space="0" w:color="auto"/>
                                <w:right w:val="none" w:sz="0" w:space="0" w:color="auto"/>
                              </w:divBdr>
                            </w:div>
                            <w:div w:id="19290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175715">
      <w:bodyDiv w:val="1"/>
      <w:marLeft w:val="0"/>
      <w:marRight w:val="0"/>
      <w:marTop w:val="0"/>
      <w:marBottom w:val="0"/>
      <w:divBdr>
        <w:top w:val="none" w:sz="0" w:space="0" w:color="auto"/>
        <w:left w:val="none" w:sz="0" w:space="0" w:color="auto"/>
        <w:bottom w:val="none" w:sz="0" w:space="0" w:color="auto"/>
        <w:right w:val="none" w:sz="0" w:space="0" w:color="auto"/>
      </w:divBdr>
    </w:div>
    <w:div w:id="1080325029">
      <w:bodyDiv w:val="1"/>
      <w:marLeft w:val="0"/>
      <w:marRight w:val="0"/>
      <w:marTop w:val="0"/>
      <w:marBottom w:val="0"/>
      <w:divBdr>
        <w:top w:val="none" w:sz="0" w:space="0" w:color="auto"/>
        <w:left w:val="none" w:sz="0" w:space="0" w:color="auto"/>
        <w:bottom w:val="none" w:sz="0" w:space="0" w:color="auto"/>
        <w:right w:val="none" w:sz="0" w:space="0" w:color="auto"/>
      </w:divBdr>
    </w:div>
    <w:div w:id="1466313168">
      <w:bodyDiv w:val="1"/>
      <w:marLeft w:val="0"/>
      <w:marRight w:val="0"/>
      <w:marTop w:val="0"/>
      <w:marBottom w:val="0"/>
      <w:divBdr>
        <w:top w:val="none" w:sz="0" w:space="0" w:color="auto"/>
        <w:left w:val="none" w:sz="0" w:space="0" w:color="auto"/>
        <w:bottom w:val="none" w:sz="0" w:space="0" w:color="auto"/>
        <w:right w:val="none" w:sz="0" w:space="0" w:color="auto"/>
      </w:divBdr>
    </w:div>
    <w:div w:id="1518079059">
      <w:bodyDiv w:val="1"/>
      <w:marLeft w:val="0"/>
      <w:marRight w:val="0"/>
      <w:marTop w:val="0"/>
      <w:marBottom w:val="0"/>
      <w:divBdr>
        <w:top w:val="none" w:sz="0" w:space="0" w:color="auto"/>
        <w:left w:val="none" w:sz="0" w:space="0" w:color="auto"/>
        <w:bottom w:val="none" w:sz="0" w:space="0" w:color="auto"/>
        <w:right w:val="none" w:sz="0" w:space="0" w:color="auto"/>
      </w:divBdr>
    </w:div>
    <w:div w:id="1753157984">
      <w:bodyDiv w:val="1"/>
      <w:marLeft w:val="0"/>
      <w:marRight w:val="0"/>
      <w:marTop w:val="0"/>
      <w:marBottom w:val="0"/>
      <w:divBdr>
        <w:top w:val="none" w:sz="0" w:space="0" w:color="auto"/>
        <w:left w:val="none" w:sz="0" w:space="0" w:color="auto"/>
        <w:bottom w:val="none" w:sz="0" w:space="0" w:color="auto"/>
        <w:right w:val="none" w:sz="0" w:space="0" w:color="auto"/>
      </w:divBdr>
    </w:div>
    <w:div w:id="1793356356">
      <w:bodyDiv w:val="1"/>
      <w:marLeft w:val="0"/>
      <w:marRight w:val="0"/>
      <w:marTop w:val="0"/>
      <w:marBottom w:val="0"/>
      <w:divBdr>
        <w:top w:val="none" w:sz="0" w:space="0" w:color="auto"/>
        <w:left w:val="none" w:sz="0" w:space="0" w:color="auto"/>
        <w:bottom w:val="none" w:sz="0" w:space="0" w:color="auto"/>
        <w:right w:val="none" w:sz="0" w:space="0" w:color="auto"/>
      </w:divBdr>
    </w:div>
    <w:div w:id="1836257654">
      <w:bodyDiv w:val="1"/>
      <w:marLeft w:val="0"/>
      <w:marRight w:val="0"/>
      <w:marTop w:val="0"/>
      <w:marBottom w:val="0"/>
      <w:divBdr>
        <w:top w:val="none" w:sz="0" w:space="0" w:color="auto"/>
        <w:left w:val="none" w:sz="0" w:space="0" w:color="auto"/>
        <w:bottom w:val="none" w:sz="0" w:space="0" w:color="auto"/>
        <w:right w:val="none" w:sz="0" w:space="0" w:color="auto"/>
      </w:divBdr>
    </w:div>
    <w:div w:id="1854949733">
      <w:bodyDiv w:val="1"/>
      <w:marLeft w:val="0"/>
      <w:marRight w:val="0"/>
      <w:marTop w:val="0"/>
      <w:marBottom w:val="0"/>
      <w:divBdr>
        <w:top w:val="none" w:sz="0" w:space="0" w:color="auto"/>
        <w:left w:val="none" w:sz="0" w:space="0" w:color="auto"/>
        <w:bottom w:val="none" w:sz="0" w:space="0" w:color="auto"/>
        <w:right w:val="none" w:sz="0" w:space="0" w:color="auto"/>
      </w:divBdr>
    </w:div>
    <w:div w:id="2108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872F3-5118-406E-8CAE-09DBA3B2FA5B}">
  <ds:schemaRefs>
    <ds:schemaRef ds:uri="http://schemas.openxmlformats.org/officeDocument/2006/bibliography"/>
  </ds:schemaRefs>
</ds:datastoreItem>
</file>

<file path=customXml/itemProps2.xml><?xml version="1.0" encoding="utf-8"?>
<ds:datastoreItem xmlns:ds="http://schemas.openxmlformats.org/officeDocument/2006/customXml" ds:itemID="{F34C5900-D773-48A2-9C75-7341E2D9D4AE}"/>
</file>

<file path=customXml/itemProps3.xml><?xml version="1.0" encoding="utf-8"?>
<ds:datastoreItem xmlns:ds="http://schemas.openxmlformats.org/officeDocument/2006/customXml" ds:itemID="{3275788C-64E2-4FFE-8722-5E76F0EFE420}"/>
</file>

<file path=customXml/itemProps4.xml><?xml version="1.0" encoding="utf-8"?>
<ds:datastoreItem xmlns:ds="http://schemas.openxmlformats.org/officeDocument/2006/customXml" ds:itemID="{6B9F300F-08F1-46C2-93DE-60CA7C628F89}"/>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2025-12-16T03:53:00Z</cp:lastPrinted>
  <dcterms:created xsi:type="dcterms:W3CDTF">2025-12-23T07:13:00Z</dcterms:created>
  <dcterms:modified xsi:type="dcterms:W3CDTF">2025-12-23T07:13:00Z</dcterms:modified>
</cp:coreProperties>
</file>